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FBB" w:rsidRPr="00CF6120" w:rsidRDefault="0013163B" w:rsidP="0013163B">
      <w:pPr>
        <w:jc w:val="center"/>
        <w:rPr>
          <w:b/>
        </w:rPr>
      </w:pPr>
      <w:r w:rsidRPr="00CF6120">
        <w:rPr>
          <w:b/>
        </w:rPr>
        <w:t xml:space="preserve">Intégrer la perception et les </w:t>
      </w:r>
      <w:r w:rsidR="005039F0" w:rsidRPr="00CF6120">
        <w:rPr>
          <w:b/>
        </w:rPr>
        <w:t>propositions</w:t>
      </w:r>
      <w:r w:rsidRPr="00CF6120">
        <w:rPr>
          <w:b/>
        </w:rPr>
        <w:t xml:space="preserve"> paysannes dans les programmes de maintenance</w:t>
      </w:r>
      <w:r w:rsidRPr="00CF6120">
        <w:rPr>
          <w:b/>
        </w:rPr>
        <w:br/>
        <w:t xml:space="preserve"> des réseaux de drainage : application </w:t>
      </w:r>
      <w:proofErr w:type="gramStart"/>
      <w:r w:rsidRPr="00CF6120">
        <w:rPr>
          <w:b/>
        </w:rPr>
        <w:t>d’une</w:t>
      </w:r>
      <w:proofErr w:type="gramEnd"/>
      <w:r w:rsidRPr="00CF6120">
        <w:rPr>
          <w:b/>
        </w:rPr>
        <w:t xml:space="preserve"> méthodologique </w:t>
      </w:r>
      <w:r w:rsidR="000215E7">
        <w:rPr>
          <w:b/>
        </w:rPr>
        <w:t xml:space="preserve">générique </w:t>
      </w:r>
      <w:r w:rsidRPr="00CF6120">
        <w:rPr>
          <w:b/>
        </w:rPr>
        <w:t>au cas du périmètre irrigué de Baguinéda (Mali)</w:t>
      </w:r>
    </w:p>
    <w:p w:rsidR="000215E7" w:rsidRDefault="000215E7" w:rsidP="000215E7">
      <w:pPr>
        <w:widowControl w:val="0"/>
        <w:autoSpaceDE w:val="0"/>
        <w:autoSpaceDN w:val="0"/>
        <w:adjustRightInd w:val="0"/>
        <w:spacing w:after="0"/>
        <w:jc w:val="center"/>
      </w:pPr>
      <w:r>
        <w:t xml:space="preserve">Amadou </w:t>
      </w:r>
      <w:proofErr w:type="gramStart"/>
      <w:r>
        <w:t>KEÏTA</w:t>
      </w:r>
      <w:r>
        <w:rPr>
          <w:vertAlign w:val="superscript"/>
        </w:rPr>
        <w:t>(</w:t>
      </w:r>
      <w:proofErr w:type="gramEnd"/>
      <w:r w:rsidR="00F7284C">
        <w:rPr>
          <w:vertAlign w:val="superscript"/>
        </w:rPr>
        <w:t>a</w:t>
      </w:r>
      <w:r w:rsidR="00E7074E">
        <w:rPr>
          <w:vertAlign w:val="superscript"/>
        </w:rPr>
        <w:t>,*</w:t>
      </w:r>
      <w:r>
        <w:rPr>
          <w:vertAlign w:val="superscript"/>
        </w:rPr>
        <w:t>)</w:t>
      </w:r>
      <w:r>
        <w:t>, Bruno LIDON</w:t>
      </w:r>
      <w:r w:rsidR="00F7284C" w:rsidRPr="00F7284C">
        <w:rPr>
          <w:vertAlign w:val="superscript"/>
        </w:rPr>
        <w:t>(</w:t>
      </w:r>
      <w:r w:rsidR="00F7284C">
        <w:rPr>
          <w:vertAlign w:val="superscript"/>
        </w:rPr>
        <w:t>b</w:t>
      </w:r>
      <w:r w:rsidR="00F7284C" w:rsidRPr="00F7284C">
        <w:rPr>
          <w:vertAlign w:val="superscript"/>
        </w:rPr>
        <w:t>)</w:t>
      </w:r>
      <w:r>
        <w:t>, Caroline COULON</w:t>
      </w:r>
      <w:r w:rsidR="00F7284C" w:rsidRPr="00F7284C">
        <w:rPr>
          <w:vertAlign w:val="superscript"/>
        </w:rPr>
        <w:t>(</w:t>
      </w:r>
      <w:r w:rsidR="00E7074E">
        <w:rPr>
          <w:vertAlign w:val="superscript"/>
        </w:rPr>
        <w:t>c</w:t>
      </w:r>
      <w:r w:rsidR="00F7284C" w:rsidRPr="00F7284C">
        <w:rPr>
          <w:vertAlign w:val="superscript"/>
        </w:rPr>
        <w:t>)</w:t>
      </w:r>
      <w:r>
        <w:t xml:space="preserve">, </w:t>
      </w:r>
      <w:r w:rsidR="00F7284C">
        <w:t>Sami BOUARFA</w:t>
      </w:r>
      <w:r w:rsidR="00F7284C" w:rsidRPr="00F7284C">
        <w:rPr>
          <w:vertAlign w:val="superscript"/>
        </w:rPr>
        <w:t>(</w:t>
      </w:r>
      <w:r w:rsidR="00E7074E">
        <w:rPr>
          <w:vertAlign w:val="superscript"/>
        </w:rPr>
        <w:t>c</w:t>
      </w:r>
      <w:r w:rsidR="00F7284C" w:rsidRPr="00F7284C">
        <w:rPr>
          <w:vertAlign w:val="superscript"/>
        </w:rPr>
        <w:t>)</w:t>
      </w:r>
      <w:r w:rsidR="00F7284C">
        <w:t xml:space="preserve">, </w:t>
      </w:r>
      <w:r w:rsidR="00F7284C">
        <w:br/>
      </w:r>
      <w:r>
        <w:t>Bernard VINCENT</w:t>
      </w:r>
      <w:r w:rsidR="00F7284C" w:rsidRPr="00F7284C">
        <w:rPr>
          <w:vertAlign w:val="superscript"/>
        </w:rPr>
        <w:t>(</w:t>
      </w:r>
      <w:r w:rsidR="00E7074E">
        <w:rPr>
          <w:vertAlign w:val="superscript"/>
        </w:rPr>
        <w:t>c</w:t>
      </w:r>
      <w:r w:rsidR="00F7284C" w:rsidRPr="00F7284C">
        <w:rPr>
          <w:vertAlign w:val="superscript"/>
        </w:rPr>
        <w:t>)</w:t>
      </w:r>
      <w:r>
        <w:t>, Alphonse S. SANDWIDI</w:t>
      </w:r>
      <w:r w:rsidR="00F7284C">
        <w:rPr>
          <w:vertAlign w:val="superscript"/>
        </w:rPr>
        <w:t>(a)</w:t>
      </w:r>
      <w:r w:rsidR="00F7284C">
        <w:t>,</w:t>
      </w:r>
      <w:r>
        <w:t xml:space="preserve"> Héritier RUTABARA</w:t>
      </w:r>
      <w:r w:rsidR="00F7284C">
        <w:rPr>
          <w:vertAlign w:val="superscript"/>
        </w:rPr>
        <w:t>(a)</w:t>
      </w:r>
      <w:r w:rsidR="00F7284C">
        <w:t>,</w:t>
      </w:r>
    </w:p>
    <w:p w:rsidR="00E7074E" w:rsidRDefault="00E7074E" w:rsidP="000215E7">
      <w:pPr>
        <w:widowControl w:val="0"/>
        <w:autoSpaceDE w:val="0"/>
        <w:autoSpaceDN w:val="0"/>
        <w:adjustRightInd w:val="0"/>
        <w:spacing w:after="0"/>
        <w:jc w:val="center"/>
      </w:pPr>
    </w:p>
    <w:p w:rsidR="000215E7" w:rsidRDefault="000215E7" w:rsidP="000215E7">
      <w:pPr>
        <w:widowControl w:val="0"/>
        <w:autoSpaceDE w:val="0"/>
        <w:autoSpaceDN w:val="0"/>
        <w:adjustRightInd w:val="0"/>
        <w:spacing w:after="0"/>
        <w:jc w:val="both"/>
        <w:rPr>
          <w:sz w:val="16"/>
        </w:rPr>
      </w:pPr>
      <w:r w:rsidRPr="00F7284C">
        <w:rPr>
          <w:sz w:val="16"/>
          <w:vertAlign w:val="superscript"/>
        </w:rPr>
        <w:t>(</w:t>
      </w:r>
      <w:r w:rsidR="00F7284C">
        <w:rPr>
          <w:sz w:val="16"/>
          <w:vertAlign w:val="superscript"/>
        </w:rPr>
        <w:t>a</w:t>
      </w:r>
      <w:r w:rsidRPr="00F7284C">
        <w:rPr>
          <w:sz w:val="16"/>
          <w:vertAlign w:val="superscript"/>
        </w:rPr>
        <w:t>)</w:t>
      </w:r>
      <w:r w:rsidRPr="00F7284C">
        <w:rPr>
          <w:sz w:val="16"/>
        </w:rPr>
        <w:t>Laboratoire Hydrologie et Ressources en Eau, Institut International d’Ingénierie de l’Eau et de l’</w:t>
      </w:r>
      <w:r w:rsidR="00F7284C">
        <w:rPr>
          <w:sz w:val="16"/>
        </w:rPr>
        <w:t>Environnement (2iE),</w:t>
      </w:r>
      <w:r w:rsidRPr="00F7284C">
        <w:rPr>
          <w:sz w:val="16"/>
        </w:rPr>
        <w:t xml:space="preserve"> Burkina Faso.</w:t>
      </w:r>
    </w:p>
    <w:p w:rsidR="00F7284C" w:rsidRDefault="00F7284C" w:rsidP="000215E7">
      <w:pPr>
        <w:widowControl w:val="0"/>
        <w:autoSpaceDE w:val="0"/>
        <w:autoSpaceDN w:val="0"/>
        <w:adjustRightInd w:val="0"/>
        <w:spacing w:after="0"/>
        <w:jc w:val="both"/>
        <w:rPr>
          <w:sz w:val="16"/>
        </w:rPr>
      </w:pPr>
      <w:r>
        <w:rPr>
          <w:vertAlign w:val="superscript"/>
        </w:rPr>
        <w:t>(b)</w:t>
      </w:r>
      <w:r>
        <w:rPr>
          <w:sz w:val="16"/>
        </w:rPr>
        <w:t xml:space="preserve">Centre International de Recherche Agronomique pour le Développement (CIRAD), </w:t>
      </w:r>
      <w:r w:rsidR="00E7074E">
        <w:rPr>
          <w:sz w:val="16"/>
        </w:rPr>
        <w:t>France</w:t>
      </w:r>
    </w:p>
    <w:p w:rsidR="00E7074E" w:rsidRDefault="00E7074E" w:rsidP="00E7074E">
      <w:pPr>
        <w:widowControl w:val="0"/>
        <w:autoSpaceDE w:val="0"/>
        <w:autoSpaceDN w:val="0"/>
        <w:adjustRightInd w:val="0"/>
        <w:spacing w:after="0"/>
        <w:jc w:val="both"/>
        <w:rPr>
          <w:sz w:val="16"/>
        </w:rPr>
      </w:pPr>
      <w:r>
        <w:rPr>
          <w:vertAlign w:val="superscript"/>
        </w:rPr>
        <w:t>(c)</w:t>
      </w:r>
      <w:r w:rsidRPr="00E7074E">
        <w:rPr>
          <w:sz w:val="16"/>
        </w:rPr>
        <w:t>Institut</w:t>
      </w:r>
      <w:r>
        <w:rPr>
          <w:sz w:val="16"/>
        </w:rPr>
        <w:t xml:space="preserve"> N</w:t>
      </w:r>
      <w:r w:rsidRPr="00E7074E">
        <w:rPr>
          <w:sz w:val="16"/>
        </w:rPr>
        <w:t xml:space="preserve">ational de </w:t>
      </w:r>
      <w:r>
        <w:rPr>
          <w:sz w:val="16"/>
        </w:rPr>
        <w:t>R</w:t>
      </w:r>
      <w:r w:rsidRPr="00E7074E">
        <w:rPr>
          <w:sz w:val="16"/>
        </w:rPr>
        <w:t xml:space="preserve">echerche en </w:t>
      </w:r>
      <w:r>
        <w:rPr>
          <w:sz w:val="16"/>
        </w:rPr>
        <w:t>S</w:t>
      </w:r>
      <w:r w:rsidRPr="00E7074E">
        <w:rPr>
          <w:sz w:val="16"/>
        </w:rPr>
        <w:t xml:space="preserve">ciences et </w:t>
      </w:r>
      <w:r>
        <w:rPr>
          <w:sz w:val="16"/>
        </w:rPr>
        <w:t>T</w:t>
      </w:r>
      <w:r w:rsidRPr="00E7074E">
        <w:rPr>
          <w:sz w:val="16"/>
        </w:rPr>
        <w:t>echnologies pour</w:t>
      </w:r>
      <w:r>
        <w:rPr>
          <w:sz w:val="16"/>
        </w:rPr>
        <w:t xml:space="preserve"> </w:t>
      </w:r>
      <w:r w:rsidRPr="00E7074E">
        <w:rPr>
          <w:sz w:val="16"/>
        </w:rPr>
        <w:t>l’</w:t>
      </w:r>
      <w:r>
        <w:rPr>
          <w:sz w:val="16"/>
        </w:rPr>
        <w:t>E</w:t>
      </w:r>
      <w:r w:rsidRPr="00E7074E">
        <w:rPr>
          <w:sz w:val="16"/>
        </w:rPr>
        <w:t>nvironnement et l’</w:t>
      </w:r>
      <w:r>
        <w:rPr>
          <w:sz w:val="16"/>
        </w:rPr>
        <w:t>A</w:t>
      </w:r>
      <w:r w:rsidRPr="00E7074E">
        <w:rPr>
          <w:sz w:val="16"/>
        </w:rPr>
        <w:t>griculture</w:t>
      </w:r>
    </w:p>
    <w:p w:rsidR="00E7074E" w:rsidRPr="00A96502" w:rsidRDefault="00A96502" w:rsidP="00E7074E">
      <w:pPr>
        <w:widowControl w:val="0"/>
        <w:autoSpaceDE w:val="0"/>
        <w:autoSpaceDN w:val="0"/>
        <w:adjustRightInd w:val="0"/>
        <w:spacing w:after="0"/>
        <w:jc w:val="both"/>
        <w:rPr>
          <w:sz w:val="16"/>
        </w:rPr>
      </w:pPr>
      <w:r w:rsidRPr="00A96502">
        <w:rPr>
          <w:sz w:val="16"/>
        </w:rPr>
        <w:t>*</w:t>
      </w:r>
      <w:r>
        <w:rPr>
          <w:sz w:val="16"/>
        </w:rPr>
        <w:t>A</w:t>
      </w:r>
      <w:r w:rsidRPr="00A96502">
        <w:rPr>
          <w:sz w:val="16"/>
        </w:rPr>
        <w:t>u</w:t>
      </w:r>
      <w:r>
        <w:rPr>
          <w:sz w:val="16"/>
        </w:rPr>
        <w:t>teur</w:t>
      </w:r>
      <w:r w:rsidRPr="00A96502">
        <w:rPr>
          <w:sz w:val="16"/>
        </w:rPr>
        <w:t xml:space="preserve"> pour les courriel</w:t>
      </w:r>
      <w:r>
        <w:rPr>
          <w:sz w:val="16"/>
        </w:rPr>
        <w:t>s</w:t>
      </w:r>
      <w:r w:rsidRPr="00A96502">
        <w:rPr>
          <w:sz w:val="16"/>
        </w:rPr>
        <w:t>: amadou.keita@2ie-edu.org</w:t>
      </w:r>
    </w:p>
    <w:p w:rsidR="00375B30" w:rsidRDefault="00375B30" w:rsidP="00902E0C">
      <w:pPr>
        <w:pStyle w:val="Titre2"/>
      </w:pPr>
      <w:r w:rsidRPr="002D3601">
        <w:t>Résumé</w:t>
      </w:r>
    </w:p>
    <w:p w:rsidR="005B1C88" w:rsidRPr="00375B30" w:rsidRDefault="005B1C88" w:rsidP="005B1C88">
      <w:pPr>
        <w:widowControl w:val="0"/>
        <w:autoSpaceDE w:val="0"/>
        <w:autoSpaceDN w:val="0"/>
        <w:adjustRightInd w:val="0"/>
        <w:spacing w:after="0"/>
        <w:jc w:val="both"/>
      </w:pPr>
      <w:r w:rsidRPr="00375B30">
        <w:t xml:space="preserve">Le manque d’entretien des réseaux de drainage des périmètres irrigués est un problème récurrent dans toute l’Afrique de l’Ouest, qui résiste aux efforts déployés pour l’enrayer. Explorant une piste nouvelle, cette étude utilise une méthode </w:t>
      </w:r>
      <w:r>
        <w:t>d’enquête utilisant un support innovant issu</w:t>
      </w:r>
      <w:r w:rsidRPr="00375B30">
        <w:t xml:space="preserve"> du patrimo</w:t>
      </w:r>
      <w:r>
        <w:t xml:space="preserve">ine africain – le WASO – </w:t>
      </w:r>
      <w:r w:rsidRPr="00375B30">
        <w:t xml:space="preserve">pour quantifier et comparer l’intensité </w:t>
      </w:r>
      <w:r>
        <w:t xml:space="preserve">de </w:t>
      </w:r>
      <w:r w:rsidRPr="00375B30">
        <w:t xml:space="preserve">la perception paysanne de la question. </w:t>
      </w:r>
      <w:r>
        <w:t>Elle a été appliquée au périmètre irrigué de Baguinéda au Mali (3080 ha). Il ressort que p</w:t>
      </w:r>
      <w:r w:rsidRPr="00375B30">
        <w:t>armi les obstacles</w:t>
      </w:r>
      <w:r>
        <w:t xml:space="preserve"> à l’entretien des drains</w:t>
      </w:r>
      <w:r w:rsidRPr="00375B30">
        <w:t xml:space="preserve">, </w:t>
      </w:r>
      <w:r>
        <w:t>quatre sont cruciaux</w:t>
      </w:r>
      <w:r w:rsidRPr="00375B30">
        <w:t xml:space="preserve"> : </w:t>
      </w:r>
      <w:r>
        <w:t>i) le l’insuffisance d’eau, ii) l’absence d’une autorité de coordination des opérations d’entretien, iii) le manque de matériel d’entretien adéquat, et iv) le manque de formation à l’entretien des réseaux de drainage. Des solutions ont été proposées pour résoudre ces problèmes : par exemple l’amendement argileux et calcaire pour limiter les pertes d’eau et résoudre la question de la toxicité ferreuse. Il s’est avéré que le WASO permet de faire remonter des opinions indépendantes, convergentes et quantifiées dont la hiérarchisation permet d’identifier les questions prioritaires à aborder pour faire évoluer la situation. Cela ouvre une perspective pour l’application de cette méthodologie générique à d’autres typologies d’aménagement et de gestion de l’Afrique de l’Ouest.</w:t>
      </w:r>
    </w:p>
    <w:p w:rsidR="005D3FBB" w:rsidRDefault="005D3FBB" w:rsidP="00C31A52">
      <w:pPr>
        <w:pStyle w:val="Titre1"/>
      </w:pPr>
      <w:r>
        <w:t>Introduction</w:t>
      </w:r>
    </w:p>
    <w:p w:rsidR="000C26FC" w:rsidRDefault="00E0678C" w:rsidP="000C26FC">
      <w:pPr>
        <w:jc w:val="both"/>
      </w:pPr>
      <w:r w:rsidRPr="00E0678C">
        <w:t xml:space="preserve">L’entretien des systèmes de drainage est une question récurrente dans les périmètres aménagés d’Afrique de l’Ouest. Le défaut d’entretien est l’une des causes majeures de la dégradation </w:t>
      </w:r>
      <w:r w:rsidR="00BB1B6A">
        <w:t xml:space="preserve">et de la baisse de la fertilité des sols. </w:t>
      </w:r>
      <w:r w:rsidR="00B668CC">
        <w:fldChar w:fldCharType="begin"/>
      </w:r>
      <w:r w:rsidR="00BB1B6A">
        <w:instrText xml:space="preserve"> ADDIN EN.CITE &lt;EndNote&gt;&lt;Cite&gt;&lt;Author&gt;Konukcu&lt;/Author&gt;&lt;Year&gt;2006&lt;/Year&gt;&lt;RecNum&gt;305&lt;/RecNum&gt;&lt;DisplayText&gt;&lt;style font="Times New Roman" size="10"&gt;(Smedema and Walter 1998, Konukcu et al. 2006)&lt;/style&gt;&lt;/DisplayText&gt;&lt;record&gt;&lt;rec-number&gt;305&lt;/rec-number&gt;&lt;foreign-keys&gt;&lt;key app="EN" db-id="9fwepsrswaze5fe2velxxsppptdpaz9f9s9z"&gt;305&lt;/key&gt;&lt;/foreign-keys&gt;&lt;ref-type name="Journal Article"&gt;17&lt;/ref-type&gt;&lt;contributors&gt;&lt;authors&gt;&lt;author&gt;Konukcu, F,&lt;/author&gt;&lt;author&gt;Gowing JW,&lt;/author&gt;&lt;author&gt;Rose DA, &lt;/author&gt;&lt;/authors&gt;&lt;/contributors&gt;&lt;titles&gt;&lt;title&gt;Dry Drainage: A Sustainable Solution to Waterlogging and Salinity Problems in Irrigation Areas?&lt;/title&gt;&lt;secondary-title&gt;Agricultural Water Management&lt;/secondary-title&gt;&lt;/titles&gt;&lt;periodical&gt;&lt;full-title&gt;Agricultural Water Management&lt;/full-title&gt;&lt;/periodical&gt;&lt;pages&gt;1-12&lt;/pages&gt;&lt;volume&gt;83&lt;/volume&gt;&lt;number&gt;1&lt;/number&gt;&lt;dates&gt;&lt;year&gt;2006&lt;/year&gt;&lt;/dates&gt;&lt;urls&gt;&lt;/urls&gt;&lt;/record&gt;&lt;/Cite&gt;&lt;Cite&gt;&lt;Author&gt;Smedema&lt;/Author&gt;&lt;Year&gt;1998&lt;/Year&gt;&lt;RecNum&gt;306&lt;/RecNum&gt;&lt;record&gt;&lt;rec-number&gt;306&lt;/rec-number&gt;&lt;foreign-keys&gt;&lt;key app="EN" db-id="9fwepsrswaze5fe2velxxsppptdpaz9f9s9z"&gt;306&lt;/key&gt;&lt;/foreign-keys&gt;&lt;ref-type name="Journal Article"&gt;17&lt;/ref-type&gt;&lt;contributors&gt;&lt;authors&gt;&lt;author&gt; Lambert K Smedema&lt;/author&gt;&lt;author&gt;J Ochs Walter&lt;/author&gt;&lt;/authors&gt;&lt;/contributors&gt;&lt;titles&gt;&lt;title&gt;Needs and Prospects for Improved Drainage in Developing Countries&lt;/title&gt;&lt;secondary-title&gt;Irrigation and Drainage Systems&lt;/secondary-title&gt;&lt;/titles&gt;&lt;periodical&gt;&lt;full-title&gt;Irrigation and Drainage Systems&lt;/full-title&gt;&lt;/periodical&gt;&lt;pages&gt;359-69&lt;/pages&gt;&lt;volume&gt;12&lt;/volume&gt;&lt;number&gt;4&lt;/number&gt;&lt;dates&gt;&lt;year&gt;1998&lt;/year&gt;&lt;/dates&gt;&lt;urls&gt;&lt;/urls&gt;&lt;/record&gt;&lt;/Cite&gt;&lt;/EndNote&gt;</w:instrText>
      </w:r>
      <w:r w:rsidR="00B668CC">
        <w:fldChar w:fldCharType="separate"/>
      </w:r>
      <w:r w:rsidR="00BB1B6A" w:rsidRPr="00BB1B6A">
        <w:rPr>
          <w:rFonts w:cs="Times New Roman"/>
          <w:noProof/>
        </w:rPr>
        <w:t>(</w:t>
      </w:r>
      <w:hyperlink w:anchor="_ENREF_16" w:tooltip="Smedema, 1998 #306" w:history="1">
        <w:r w:rsidR="00210100" w:rsidRPr="00BB1B6A">
          <w:rPr>
            <w:rFonts w:cs="Times New Roman"/>
            <w:noProof/>
          </w:rPr>
          <w:t>Smedema and Walter 1998</w:t>
        </w:r>
      </w:hyperlink>
      <w:r w:rsidR="00BB1B6A" w:rsidRPr="00BB1B6A">
        <w:rPr>
          <w:rFonts w:cs="Times New Roman"/>
          <w:noProof/>
        </w:rPr>
        <w:t xml:space="preserve">, </w:t>
      </w:r>
      <w:hyperlink w:anchor="_ENREF_9" w:tooltip="Konukcu, 2006 #305" w:history="1">
        <w:r w:rsidR="00210100" w:rsidRPr="00BB1B6A">
          <w:rPr>
            <w:rFonts w:cs="Times New Roman"/>
            <w:noProof/>
          </w:rPr>
          <w:t>Konukcu et al. 2006</w:t>
        </w:r>
      </w:hyperlink>
      <w:r w:rsidR="00BB1B6A" w:rsidRPr="00BB1B6A">
        <w:rPr>
          <w:rFonts w:cs="Times New Roman"/>
          <w:noProof/>
        </w:rPr>
        <w:t>)</w:t>
      </w:r>
      <w:r w:rsidR="00B668CC">
        <w:fldChar w:fldCharType="end"/>
      </w:r>
      <w:r w:rsidR="00BB1B6A">
        <w:t>. L’</w:t>
      </w:r>
      <w:r w:rsidR="00BF4A36">
        <w:t>engorgement des sols fini</w:t>
      </w:r>
      <w:r w:rsidRPr="00E0678C">
        <w:t>t par engendrer</w:t>
      </w:r>
      <w:r w:rsidR="002F37DD">
        <w:t xml:space="preserve"> des</w:t>
      </w:r>
      <w:r w:rsidRPr="00E0678C">
        <w:t xml:space="preserve"> </w:t>
      </w:r>
      <w:r w:rsidR="00BB1B6A">
        <w:t>conditions adverses à la croissance et aux rendement des cultures telles que l’</w:t>
      </w:r>
      <w:r w:rsidRPr="00E0678C">
        <w:t xml:space="preserve">anoxie, </w:t>
      </w:r>
      <w:r w:rsidR="00BB1B6A">
        <w:t xml:space="preserve">la </w:t>
      </w:r>
      <w:r w:rsidRPr="00E0678C">
        <w:t>toxicité sodium, ferreuse et aluminique</w:t>
      </w:r>
      <w:r w:rsidR="00BB1B6A">
        <w:t xml:space="preserve"> </w:t>
      </w:r>
      <w:r w:rsidR="00B668CC">
        <w:fldChar w:fldCharType="begin"/>
      </w:r>
      <w:r w:rsidR="00BB1B6A">
        <w:instrText xml:space="preserve"> ADDIN EN.CITE &lt;EndNote&gt;&lt;Cite&gt;&lt;Author&gt;Keïta&lt;/Author&gt;&lt;Year&gt;2013&lt;/Year&gt;&lt;RecNum&gt;217&lt;/RecNum&gt;&lt;DisplayText&gt;&lt;style font="Times New Roman" size="10"&gt;(Prade et al. 1990, Keïta et al. 2013b)&lt;/style&gt;&lt;/DisplayText&gt;&lt;record&gt;&lt;rec-number&gt;217&lt;/rec-number&gt;&lt;foreign-keys&gt;&lt;key app="EN" db-id="9fwepsrswaze5fe2velxxsppptdpaz9f9s9z"&gt;217&lt;/key&gt;&lt;/foreign-keys&gt;&lt;ref-type name="Journal Article"&gt;17&lt;/ref-type&gt;&lt;contributors&gt;&lt;authors&gt;&lt;author&gt;Amadou Keïta&lt;/author&gt;&lt;author&gt;Hamma Yacouba&lt;/author&gt;&lt;author&gt;Laszlo G Hayde&lt;/author&gt;&lt;author&gt;Bart Schultz&lt;/author&gt;&lt;/authors&gt;&lt;/contributors&gt;&lt;titles&gt;&lt;title&gt;A single-season irrigated rice soil presents higher iron toxicity risk in Tropical Savannah valley bottoms&lt;/title&gt;&lt;secondary-title&gt;Open Journal of Soil Science&lt;/secondary-title&gt;&lt;/titles&gt;&lt;pages&gt;314-322&lt;/pages&gt;&lt;volume&gt;3&lt;/volume&gt;&lt;dates&gt;&lt;year&gt;2013&lt;/year&gt;&lt;/dates&gt;&lt;urls&gt;&lt;/urls&gt;&lt;electronic-resource-num&gt;http://dx.doi.org/10.4236/ojss.2013.37036&lt;/electronic-resource-num&gt;&lt;/record&gt;&lt;/Cite&gt;&lt;Cite&gt;&lt;Author&gt;Prade&lt;/Author&gt;&lt;Year&gt;1990&lt;/Year&gt;&lt;RecNum&gt;43&lt;/RecNum&gt;&lt;record&gt;&lt;rec-number&gt;43&lt;/rec-number&gt;&lt;foreign-keys&gt;&lt;key app="EN" db-id="9fwepsrswaze5fe2velxxsppptdpaz9f9s9z"&gt;43&lt;/key&gt;&lt;/foreign-keys&gt;&lt;ref-type name="Journal Article"&gt;17&lt;/ref-type&gt;&lt;contributors&gt;&lt;authors&gt;&lt;author&gt;Klauss Prade&lt;/author&gt;&lt;author&gt;Johannes C.G. Ottow&lt;/author&gt;&lt;author&gt;Vincent A. Jacq&lt;/author&gt;&lt;author&gt;George Malouf&lt;/author&gt;&lt;author&gt;Jean-Yves Loyer&lt;/author&gt;&lt;/authors&gt;&lt;/contributors&gt;&lt;titles&gt;&lt;title&gt;Relationship between soil properties of rice flooded soils and iron toxicity in Low Casamance (Senegal). Litterature review of previous studies (French)&lt;/title&gt;&lt;secondary-title&gt;Cahiers ORSTOM&lt;/secondary-title&gt;&lt;/titles&gt;&lt;pages&gt;453-474&lt;/pages&gt;&lt;volume&gt;XXV&lt;/volume&gt;&lt;number&gt;4&lt;/number&gt;&lt;dates&gt;&lt;year&gt;1990&lt;/year&gt;&lt;pub-dates&gt;&lt;date&gt;1989-1990&lt;/date&gt;&lt;/pub-dates&gt;&lt;/dates&gt;&lt;urls&gt;&lt;/urls&gt;&lt;/record&gt;&lt;/Cite&gt;&lt;/EndNote&gt;</w:instrText>
      </w:r>
      <w:r w:rsidR="00B668CC">
        <w:fldChar w:fldCharType="separate"/>
      </w:r>
      <w:r w:rsidR="00BB1B6A" w:rsidRPr="00BB1B6A">
        <w:rPr>
          <w:rFonts w:cs="Times New Roman"/>
          <w:noProof/>
        </w:rPr>
        <w:t>(</w:t>
      </w:r>
      <w:hyperlink w:anchor="_ENREF_11" w:tooltip="Prade, 1990 #43" w:history="1">
        <w:r w:rsidR="00210100" w:rsidRPr="00BB1B6A">
          <w:rPr>
            <w:rFonts w:cs="Times New Roman"/>
            <w:noProof/>
          </w:rPr>
          <w:t>Prade et al. 1990</w:t>
        </w:r>
      </w:hyperlink>
      <w:r w:rsidR="00BB1B6A" w:rsidRPr="00BB1B6A">
        <w:rPr>
          <w:rFonts w:cs="Times New Roman"/>
          <w:noProof/>
        </w:rPr>
        <w:t xml:space="preserve">, </w:t>
      </w:r>
      <w:hyperlink w:anchor="_ENREF_7" w:tooltip="Keïta, 2013 #217" w:history="1">
        <w:r w:rsidR="00210100" w:rsidRPr="00BB1B6A">
          <w:rPr>
            <w:rFonts w:cs="Times New Roman"/>
            <w:noProof/>
          </w:rPr>
          <w:t>Keïta et al. 2013b</w:t>
        </w:r>
      </w:hyperlink>
      <w:r w:rsidR="00BB1B6A" w:rsidRPr="00BB1B6A">
        <w:rPr>
          <w:rFonts w:cs="Times New Roman"/>
          <w:noProof/>
        </w:rPr>
        <w:t>)</w:t>
      </w:r>
      <w:r w:rsidR="00B668CC">
        <w:fldChar w:fldCharType="end"/>
      </w:r>
      <w:r w:rsidR="00BB1B6A">
        <w:t xml:space="preserve">. </w:t>
      </w:r>
      <w:r w:rsidRPr="00E0678C">
        <w:t>De multiples actions de sensibilisation et de contractualisation des opérations de maintenance des systèmes de drainage ont été menées sans grand succès</w:t>
      </w:r>
      <w:r w:rsidR="000C26FC">
        <w:t xml:space="preserve"> </w:t>
      </w:r>
      <w:r w:rsidR="00B668CC">
        <w:fldChar w:fldCharType="begin"/>
      </w:r>
      <w:r w:rsidR="000C26FC">
        <w:instrText xml:space="preserve"> ADDIN EN.CITE &lt;EndNote&gt;&lt;Cite&gt;&lt;Author&gt;Vandersypen&lt;/Author&gt;&lt;Year&gt;2006&lt;/Year&gt;&lt;RecNum&gt;307&lt;/RecNum&gt;&lt;DisplayText&gt;&lt;style font="Times New Roman" size="10"&gt;(Vandersypen et al. 2006)&lt;/style&gt;&lt;/DisplayText&gt;&lt;record&gt;&lt;rec-number&gt;307&lt;/rec-number&gt;&lt;foreign-keys&gt;&lt;key app="EN" db-id="9fwepsrswaze5fe2velxxsppptdpaz9f9s9z"&gt;307&lt;/key&gt;&lt;/foreign-keys&gt;&lt;ref-type name="Journal Article"&gt;17&lt;/ref-type&gt;&lt;contributors&gt;&lt;authors&gt;&lt;author&gt;Klaartje Vandersypen&lt;/author&gt;&lt;author&gt;Keita ACT, &lt;/author&gt;&lt;author&gt;K Kaloga&lt;/author&gt;&lt;author&gt;Y Coulibaly&lt;/author&gt;&lt;author&gt;Dirk Raes&lt;/author&gt;&lt;author&gt;J Yves Jamin&lt;/author&gt;&lt;/authors&gt;&lt;/contributors&gt;&lt;titles&gt;&lt;title&gt;Sustainability of Farmers’ Organization of Water Management in the Office Du Niger Irrigation Scheme in Mali &lt;/title&gt;&lt;secondary-title&gt; Irrigation and Drainage Systems&lt;/secondary-title&gt;&lt;/titles&gt;&lt;pages&gt;51-60&lt;/pages&gt;&lt;volume&gt;55&lt;/volume&gt;&lt;number&gt;1&lt;/number&gt;&lt;dates&gt;&lt;year&gt;2006&lt;/year&gt;&lt;/dates&gt;&lt;urls&gt;&lt;/urls&gt;&lt;/record&gt;&lt;/Cite&gt;&lt;/EndNote&gt;</w:instrText>
      </w:r>
      <w:r w:rsidR="00B668CC">
        <w:fldChar w:fldCharType="separate"/>
      </w:r>
      <w:r w:rsidR="000C26FC" w:rsidRPr="000C26FC">
        <w:rPr>
          <w:rFonts w:cs="Times New Roman"/>
          <w:noProof/>
        </w:rPr>
        <w:t>(</w:t>
      </w:r>
      <w:hyperlink w:anchor="_ENREF_18" w:tooltip="Vandersypen, 2006 #307" w:history="1">
        <w:r w:rsidR="00210100" w:rsidRPr="000C26FC">
          <w:rPr>
            <w:rFonts w:cs="Times New Roman"/>
            <w:noProof/>
          </w:rPr>
          <w:t>Vandersypen et al. 2006</w:t>
        </w:r>
      </w:hyperlink>
      <w:r w:rsidR="000C26FC" w:rsidRPr="000C26FC">
        <w:rPr>
          <w:rFonts w:cs="Times New Roman"/>
          <w:noProof/>
        </w:rPr>
        <w:t>)</w:t>
      </w:r>
      <w:r w:rsidR="00B668CC">
        <w:fldChar w:fldCharType="end"/>
      </w:r>
      <w:r w:rsidRPr="00E0678C">
        <w:t>.</w:t>
      </w:r>
      <w:r w:rsidR="000C26FC">
        <w:t xml:space="preserve"> </w:t>
      </w:r>
      <w:r w:rsidR="00634A2F">
        <w:t>Pour les paysans –</w:t>
      </w:r>
      <w:r w:rsidR="00BF4A36">
        <w:t xml:space="preserve"> acteurs incontournables</w:t>
      </w:r>
      <w:r>
        <w:t xml:space="preserve"> </w:t>
      </w:r>
      <w:r w:rsidR="00BF4A36">
        <w:t xml:space="preserve">de la maintenance </w:t>
      </w:r>
      <w:r>
        <w:t>des périmètres irrigués</w:t>
      </w:r>
      <w:r w:rsidR="00634A2F">
        <w:t xml:space="preserve"> –</w:t>
      </w:r>
      <w:r>
        <w:t xml:space="preserve"> les drains peuvent jouer plusieurs</w:t>
      </w:r>
      <w:r w:rsidR="00BF4A36">
        <w:t xml:space="preserve"> fonctions sans la prise en compte</w:t>
      </w:r>
      <w:r>
        <w:t xml:space="preserve"> desquelles un pr</w:t>
      </w:r>
      <w:r w:rsidR="00BF4A36">
        <w:t>ogramme de maintenance a toutes les chances</w:t>
      </w:r>
      <w:r>
        <w:t xml:space="preserve"> </w:t>
      </w:r>
      <w:r w:rsidR="00BF4A36">
        <w:t>d’être voué à l’échec. L</w:t>
      </w:r>
      <w:r w:rsidRPr="00E0678C">
        <w:t xml:space="preserve">e point de vue paysan sur </w:t>
      </w:r>
      <w:r>
        <w:t xml:space="preserve">le pourquoi et le comment de l’entretien des réseaux de </w:t>
      </w:r>
      <w:r w:rsidRPr="00E0678C">
        <w:t>drainage reste insuffisamment exploré.</w:t>
      </w:r>
      <w:r w:rsidR="000C26FC">
        <w:t xml:space="preserve"> Pour contribuer à </w:t>
      </w:r>
      <w:r w:rsidR="000C26FC" w:rsidRPr="00C40909">
        <w:rPr>
          <w:i/>
        </w:rPr>
        <w:t>combler</w:t>
      </w:r>
      <w:r w:rsidR="000C26FC">
        <w:t xml:space="preserve"> cette lacune, l’objectif de cette étude est de développer une </w:t>
      </w:r>
      <w:r w:rsidR="000C26FC" w:rsidRPr="000C26FC">
        <w:rPr>
          <w:i/>
        </w:rPr>
        <w:t>méthodologie générique</w:t>
      </w:r>
      <w:r w:rsidR="000C26FC">
        <w:t xml:space="preserve"> permettant de faciliter la définition ou (redéfinition) du rôle des différents acteurs dans l’entretien des réseaux de drainage et dans ce cadre, à terme de mieux prendre en compte les stratégies et perceptions des exploitants dans le cadre des négociations de règles consenties et applicables aux tiers. Ce travail est à replacer dans le cadre de l'amélioration de la productivité et de la durabilité des aménagements hydroagricoles dans la perspective du développement projeté de centaines de milliers d'hectares dans les pays CILSS (e.g. Programme SIIP de la Banque Mondiale et du CILSS). </w:t>
      </w:r>
    </w:p>
    <w:p w:rsidR="00E0678C" w:rsidRDefault="000C26FC" w:rsidP="000C26FC">
      <w:pPr>
        <w:jc w:val="both"/>
      </w:pPr>
      <w:r>
        <w:t>Plusieurs étapes ont été nécessaire</w:t>
      </w:r>
      <w:r w:rsidR="00AE1192">
        <w:t>s</w:t>
      </w:r>
      <w:r>
        <w:t xml:space="preserve"> pour mettre </w:t>
      </w:r>
      <w:r w:rsidR="00CD3F73">
        <w:t>au point</w:t>
      </w:r>
      <w:r>
        <w:t xml:space="preserve"> une telle méthodologie et l’appliquer à une étude de cas. Après le développement conceptuel de la métho</w:t>
      </w:r>
      <w:r w:rsidR="00AE1192">
        <w:t>do</w:t>
      </w:r>
      <w:r>
        <w:t xml:space="preserve">logie, elle a </w:t>
      </w:r>
      <w:r w:rsidR="00BF4A36">
        <w:t xml:space="preserve">d’abord </w:t>
      </w:r>
      <w:r>
        <w:t xml:space="preserve">été testée sur un périmètre de 36 ha à Tiéfora au Burkina Faso (dont les résultats ne sont pas présentés ici) puis mis en œuvre sur les 3080 ha </w:t>
      </w:r>
      <w:r w:rsidR="00AE1192">
        <w:t>de</w:t>
      </w:r>
      <w:r>
        <w:t xml:space="preserve"> périmètre</w:t>
      </w:r>
      <w:r w:rsidR="00AE1192">
        <w:t>s</w:t>
      </w:r>
      <w:r>
        <w:t xml:space="preserve"> de Baguinéda </w:t>
      </w:r>
      <w:r w:rsidR="00AE1192">
        <w:t xml:space="preserve">Amont et Aval </w:t>
      </w:r>
      <w:r>
        <w:t xml:space="preserve">au Mali. </w:t>
      </w:r>
      <w:r w:rsidR="00AE1192">
        <w:t>Le présent article synthétise la démarche, les principaux résultats obtenus sur Baguinéda et les perspectives d’application à d’autres aménagements hydroagricoles.</w:t>
      </w:r>
    </w:p>
    <w:p w:rsidR="00A40609" w:rsidRPr="00B86AE7" w:rsidRDefault="00A40609" w:rsidP="00B86AE7">
      <w:pPr>
        <w:pStyle w:val="Titre1"/>
      </w:pPr>
      <w:r w:rsidRPr="00B86AE7">
        <w:lastRenderedPageBreak/>
        <w:t>Méthodologie</w:t>
      </w:r>
    </w:p>
    <w:p w:rsidR="00154067" w:rsidRPr="00902E0C" w:rsidRDefault="00154067" w:rsidP="00902E0C">
      <w:pPr>
        <w:pStyle w:val="Titre2"/>
      </w:pPr>
      <w:r w:rsidRPr="00902E0C">
        <w:t xml:space="preserve">Présentation du site </w:t>
      </w:r>
      <w:r w:rsidR="00AE1192">
        <w:t>de Baguinéda</w:t>
      </w:r>
    </w:p>
    <w:p w:rsidR="00154067" w:rsidRDefault="00442DCA" w:rsidP="00250A88">
      <w:pPr>
        <w:jc w:val="both"/>
      </w:pPr>
      <w:r>
        <w:t>Les caractéristiques géographique</w:t>
      </w:r>
      <w:r w:rsidR="00E239CA">
        <w:t>s</w:t>
      </w:r>
      <w:r>
        <w:t xml:space="preserve"> et administratives de</w:t>
      </w:r>
      <w:r w:rsidR="00E239CA">
        <w:t>s</w:t>
      </w:r>
      <w:r>
        <w:t xml:space="preserve"> périmètres de Baguinéda se présentent comme suit. </w:t>
      </w:r>
      <w:r w:rsidR="00154067" w:rsidRPr="00A6691A">
        <w:t>Le</w:t>
      </w:r>
      <w:r w:rsidR="00E239CA">
        <w:t>s périmètres – 3080 ha en maîtrise totale de l’eau – sont gérés par l’Office des Périmètres Irrigués de Baguinéda (OPIB),</w:t>
      </w:r>
      <w:r w:rsidR="00E239CA" w:rsidRPr="00336DE8">
        <w:t xml:space="preserve"> un Établissement Public à ca</w:t>
      </w:r>
      <w:r w:rsidR="00E239CA">
        <w:t xml:space="preserve">ractère Administratif (EPA) </w:t>
      </w:r>
      <w:r w:rsidR="00250A88">
        <w:t xml:space="preserve">du Mali </w:t>
      </w:r>
      <w:r w:rsidR="00E239CA">
        <w:t>créé</w:t>
      </w:r>
      <w:r w:rsidR="00E239CA" w:rsidRPr="00336DE8">
        <w:t xml:space="preserve"> par la loi N° 98-/AN-RM du 19 Janvier 1998</w:t>
      </w:r>
      <w:r w:rsidR="00E239CA">
        <w:t xml:space="preserve">. </w:t>
      </w:r>
      <w:r w:rsidR="00154067" w:rsidRPr="00A6691A">
        <w:t xml:space="preserve">Les coordonnées GPS du site sont : </w:t>
      </w:r>
      <w:r w:rsidR="00154067">
        <w:t>7°46’30’’ L</w:t>
      </w:r>
      <w:r w:rsidR="00154067" w:rsidRPr="00A6691A">
        <w:t xml:space="preserve">ongitude Ouest et </w:t>
      </w:r>
      <w:r w:rsidR="00154067">
        <w:t>12°37’45’’ L</w:t>
      </w:r>
      <w:r w:rsidR="00154067" w:rsidRPr="00A6691A">
        <w:t>atitude Nord</w:t>
      </w:r>
      <w:r w:rsidR="00CE348D">
        <w:t xml:space="preserve"> </w:t>
      </w:r>
      <w:r w:rsidR="00B668CC">
        <w:fldChar w:fldCharType="begin"/>
      </w:r>
      <w:r w:rsidR="00CE348D">
        <w:instrText xml:space="preserve"> ADDIN EN.CITE &lt;EndNote&gt;&lt;Cite&gt;&lt;Author&gt;Rutabara&lt;/Author&gt;&lt;Year&gt;2017&lt;/Year&gt;&lt;RecNum&gt;302&lt;/RecNum&gt;&lt;DisplayText&gt;&lt;style font="Times New Roman" size="10"&gt;(Rutabara 2017, Sandwidi 2017)&lt;/style&gt;&lt;/DisplayText&gt;&lt;record&gt;&lt;rec-number&gt;302&lt;/rec-number&gt;&lt;foreign-keys&gt;&lt;key app="EN" db-id="9fwepsrswaze5fe2velxxsppptdpaz9f9s9z"&gt;302&lt;/key&gt;&lt;/foreign-keys&gt;&lt;ref-type name="Thesis"&gt;32&lt;/ref-type&gt;&lt;contributors&gt;&lt;authors&gt;&lt;author&gt;Héritier Rutabara&lt;/author&gt;&lt;/authors&gt;&lt;tertiary-authors&gt;&lt;author&gt;Amadou KEITA&lt;/author&gt;&lt;/tertiary-authors&gt;&lt;/contributors&gt;&lt;titles&gt;&lt;title&gt;La perception de l&amp;apos;entretien du réseau de drainage et sa solution selon les agriculteurs - Étude de cas de Baguinéda amont (OPIB / Mali)&lt;/title&gt;&lt;secondary-title&gt;Laboratoire Hydrologie et Ressource en Eau&lt;/secondary-title&gt;&lt;/titles&gt;&lt;pages&gt;119&lt;/pages&gt;&lt;volume&gt;Master&lt;/volume&gt;&lt;dates&gt;&lt;year&gt;2017&lt;/year&gt;&lt;/dates&gt;&lt;pub-location&gt;Ouagadougou, Burkina Faso&lt;/pub-location&gt;&lt;publisher&gt;Institut International d&amp;apos;Ingénierie de l&amp;apos;Eau et de l&amp;apos;Environnement&lt;/publisher&gt;&lt;urls&gt;&lt;/urls&gt;&lt;/record&gt;&lt;/Cite&gt;&lt;Cite&gt;&lt;Author&gt;Sandwidi&lt;/Author&gt;&lt;Year&gt;2017&lt;/Year&gt;&lt;RecNum&gt;301&lt;/RecNum&gt;&lt;record&gt;&lt;rec-number&gt;301&lt;/rec-number&gt;&lt;foreign-keys&gt;&lt;key app="EN" db-id="9fwepsrswaze5fe2velxxsppptdpaz9f9s9z"&gt;301&lt;/key&gt;&lt;/foreign-keys&gt;&lt;ref-type name="Thesis"&gt;32&lt;/ref-type&gt;&lt;contributors&gt;&lt;authors&gt;&lt;author&gt;Sibri Alphonse Sandwidi&lt;/author&gt;&lt;/authors&gt;&lt;tertiary-authors&gt;&lt;author&gt;Amadou KEITA&lt;/author&gt;&lt;/tertiary-authors&gt;&lt;/contributors&gt;&lt;titles&gt;&lt;title&gt;La perception de l’entretien du réseau de drainage et sa solution selon les agriculteurs : Cas de Baguinéda aval (OPIB/Mali)&lt;/title&gt;&lt;secondary-title&gt;Laboratoire Hydrlologie et Ressources en Eau&lt;/secondary-title&gt;&lt;/titles&gt;&lt;pages&gt;117&lt;/pages&gt;&lt;volume&gt;Master&lt;/volume&gt;&lt;dates&gt;&lt;year&gt;2017&lt;/year&gt;&lt;/dates&gt;&lt;pub-location&gt;Ouagadougou, Burkina Faso&lt;/pub-location&gt;&lt;publisher&gt;Institut International d&amp;apos;Ingénierie de l&amp;apos;Eau et de l&amp;apos;Environnement&lt;/publisher&gt;&lt;urls&gt;&lt;/urls&gt;&lt;/record&gt;&lt;/Cite&gt;&lt;/EndNote&gt;</w:instrText>
      </w:r>
      <w:r w:rsidR="00B668CC">
        <w:fldChar w:fldCharType="separate"/>
      </w:r>
      <w:r w:rsidR="00CE348D" w:rsidRPr="00250A88">
        <w:t>(</w:t>
      </w:r>
      <w:hyperlink w:anchor="_ENREF_13" w:tooltip="Rutabara, 2017 #302" w:history="1">
        <w:r w:rsidR="00210100" w:rsidRPr="00250A88">
          <w:t>Rutabara 2017</w:t>
        </w:r>
      </w:hyperlink>
      <w:r w:rsidR="00CE348D" w:rsidRPr="00250A88">
        <w:t xml:space="preserve">, </w:t>
      </w:r>
      <w:hyperlink w:anchor="_ENREF_14" w:tooltip="Sandwidi, 2017 #301" w:history="1">
        <w:r w:rsidR="00210100" w:rsidRPr="00250A88">
          <w:t>Sandwidi 2017</w:t>
        </w:r>
      </w:hyperlink>
      <w:r w:rsidR="00CE348D" w:rsidRPr="00250A88">
        <w:t>)</w:t>
      </w:r>
      <w:r w:rsidR="00B668CC">
        <w:fldChar w:fldCharType="end"/>
      </w:r>
      <w:r w:rsidR="00E239CA" w:rsidRPr="00A6691A">
        <w:t>.</w:t>
      </w:r>
      <w:r w:rsidR="00154067" w:rsidRPr="00A6691A">
        <w:t xml:space="preserve"> </w:t>
      </w:r>
      <w:r w:rsidR="00E239CA">
        <w:t>Ce site</w:t>
      </w:r>
      <w:r w:rsidR="00154067" w:rsidRPr="00A6691A">
        <w:t xml:space="preserve"> est situé dans la commune rurale de Baguinéda-Camp, à 30 km au Sud Est de Bamako, la capitale du Mali</w:t>
      </w:r>
      <w:r w:rsidR="00250A88">
        <w:t xml:space="preserve"> </w:t>
      </w:r>
      <w:r w:rsidR="00154067" w:rsidRPr="00A6691A">
        <w:t>en rive droite du fleuve Niger</w:t>
      </w:r>
      <w:r w:rsidR="00250A88">
        <w:t>. La commune</w:t>
      </w:r>
      <w:r w:rsidR="00250A88" w:rsidRPr="00A6691A">
        <w:t xml:space="preserve"> </w:t>
      </w:r>
      <w:r w:rsidR="00154067" w:rsidRPr="00A6691A">
        <w:t>couvre 22 villages</w:t>
      </w:r>
      <w:r w:rsidR="00E239CA">
        <w:t xml:space="preserve"> (</w:t>
      </w:r>
      <w:r w:rsidR="00B44D40">
        <w:fldChar w:fldCharType="begin"/>
      </w:r>
      <w:r w:rsidR="00B44D40">
        <w:instrText xml:space="preserve"> REF _Ref476304204 \h  \* MERGEFORMAT </w:instrText>
      </w:r>
      <w:r w:rsidR="00B44D40">
        <w:fldChar w:fldCharType="separate"/>
      </w:r>
      <w:r w:rsidR="00E239CA" w:rsidRPr="00C40909">
        <w:rPr>
          <w:b/>
          <w:i/>
        </w:rPr>
        <w:t>Figure 1</w:t>
      </w:r>
      <w:r w:rsidR="00B44D40">
        <w:fldChar w:fldCharType="end"/>
      </w:r>
      <w:r w:rsidR="00E239CA">
        <w:t>)</w:t>
      </w:r>
      <w:r w:rsidR="00250A88">
        <w:t xml:space="preserve">, </w:t>
      </w:r>
      <w:r w:rsidR="00154067" w:rsidRPr="00A6691A">
        <w:t>avec une superficie d</w:t>
      </w:r>
      <w:r w:rsidR="00154067">
        <w:t>’</w:t>
      </w:r>
      <w:r w:rsidR="00154067" w:rsidRPr="00A6691A">
        <w:t>e</w:t>
      </w:r>
      <w:r w:rsidR="00154067">
        <w:t>nviron 990</w:t>
      </w:r>
      <w:r w:rsidR="00250A88">
        <w:t xml:space="preserve"> km². Elle </w:t>
      </w:r>
      <w:r w:rsidR="00154067" w:rsidRPr="00A6691A">
        <w:t>est limité</w:t>
      </w:r>
      <w:r w:rsidR="00250A88">
        <w:t>e</w:t>
      </w:r>
      <w:r w:rsidR="00154067" w:rsidRPr="00A6691A">
        <w:t xml:space="preserve"> au Nord par les communes de </w:t>
      </w:r>
      <w:proofErr w:type="spellStart"/>
      <w:r w:rsidR="00154067" w:rsidRPr="00A6691A">
        <w:t>Tienfala</w:t>
      </w:r>
      <w:proofErr w:type="spellEnd"/>
      <w:r w:rsidR="00154067" w:rsidRPr="00A6691A">
        <w:t xml:space="preserve"> et de Koulikoro, au Sud par les communes de Mountougoula et de N’Goubara, à l’Est par la commune rurale de Binko et à l’Ouest par la commune de Kalaban-</w:t>
      </w:r>
      <w:r>
        <w:t>C</w:t>
      </w:r>
      <w:r w:rsidR="00154067" w:rsidRPr="00A6691A">
        <w:t xml:space="preserve">oro et la commune VI du district de Bamako. </w:t>
      </w:r>
    </w:p>
    <w:tbl>
      <w:tblPr>
        <w:tblStyle w:val="Grilledutableau"/>
        <w:tblW w:w="99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4028"/>
      </w:tblGrid>
      <w:tr w:rsidR="00154067" w:rsidTr="00B54E18">
        <w:trPr>
          <w:trHeight w:val="4525"/>
        </w:trPr>
        <w:tc>
          <w:tcPr>
            <w:tcW w:w="5954" w:type="dxa"/>
          </w:tcPr>
          <w:p w:rsidR="00154067" w:rsidRPr="00AF2ACC" w:rsidRDefault="00C426DD" w:rsidP="00B54E18">
            <w:pPr>
              <w:keepNext/>
              <w:autoSpaceDE w:val="0"/>
              <w:autoSpaceDN w:val="0"/>
              <w:adjustRightInd w:val="0"/>
              <w:spacing w:before="240"/>
              <w:jc w:val="cente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1178560</wp:posOffset>
                      </wp:positionH>
                      <wp:positionV relativeFrom="paragraph">
                        <wp:posOffset>1468755</wp:posOffset>
                      </wp:positionV>
                      <wp:extent cx="2647950" cy="514350"/>
                      <wp:effectExtent l="0" t="57150" r="0" b="19050"/>
                      <wp:wrapNone/>
                      <wp:docPr id="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79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5" o:spid="_x0000_s1026" type="#_x0000_t32" style="position:absolute;margin-left:92.8pt;margin-top:115.65pt;width:208.5pt;height:4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ZTQAIAAG4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">
                      <v:stroke endarrow="block"/>
                    </v:shape>
                  </w:pict>
                </mc:Fallback>
              </mc:AlternateContent>
            </w:r>
            <w:r w:rsidR="00154067">
              <w:rPr>
                <w:noProof/>
                <w:lang w:eastAsia="fr-FR"/>
              </w:rPr>
              <w:drawing>
                <wp:inline distT="0" distB="0" distL="0" distR="0" wp14:anchorId="02D66603" wp14:editId="76142DF8">
                  <wp:extent cx="3171825" cy="2527041"/>
                  <wp:effectExtent l="19050" t="0" r="0" b="0"/>
                  <wp:docPr id="1" name="Imag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6514" t="3891" r="1839" b="4156"/>
                          <a:stretch/>
                        </pic:blipFill>
                        <pic:spPr bwMode="auto">
                          <a:xfrm>
                            <a:off x="0" y="0"/>
                            <a:ext cx="3179876" cy="2533456"/>
                          </a:xfrm>
                          <a:prstGeom prst="rect">
                            <a:avLst/>
                          </a:prstGeom>
                          <a:ln>
                            <a:noFill/>
                          </a:ln>
                          <a:extLst>
                            <a:ext uri="{53640926-AAD7-44D8-BBD7-CCE9431645EC}">
                              <a14:shadowObscured xmlns:a14="http://schemas.microsoft.com/office/drawing/2010/main"/>
                            </a:ext>
                          </a:extLst>
                        </pic:spPr>
                      </pic:pic>
                    </a:graphicData>
                  </a:graphic>
                </wp:inline>
              </w:drawing>
            </w:r>
          </w:p>
        </w:tc>
        <w:tc>
          <w:tcPr>
            <w:tcW w:w="4028" w:type="dxa"/>
          </w:tcPr>
          <w:p w:rsidR="00154067" w:rsidRPr="001F5A71" w:rsidRDefault="00154067" w:rsidP="00B54E18">
            <w:pPr>
              <w:keepNext/>
              <w:autoSpaceDE w:val="0"/>
              <w:autoSpaceDN w:val="0"/>
              <w:adjustRightInd w:val="0"/>
              <w:spacing w:before="240"/>
            </w:pPr>
            <w:r>
              <w:rPr>
                <w:noProof/>
                <w:lang w:eastAsia="fr-FR"/>
              </w:rPr>
              <w:drawing>
                <wp:inline distT="0" distB="0" distL="0" distR="0" wp14:anchorId="7F347BBA" wp14:editId="1B7B9046">
                  <wp:extent cx="2107096" cy="1447298"/>
                  <wp:effectExtent l="0" t="0" r="7620" b="635"/>
                  <wp:docPr id="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Lst>
                          </a:blip>
                          <a:srcRect l="1563" t="2210" r="1733" b="3867"/>
                          <a:stretch/>
                        </pic:blipFill>
                        <pic:spPr bwMode="auto">
                          <a:xfrm>
                            <a:off x="0" y="0"/>
                            <a:ext cx="2120640" cy="1456601"/>
                          </a:xfrm>
                          <a:prstGeom prst="rect">
                            <a:avLst/>
                          </a:prstGeom>
                          <a:ln>
                            <a:noFill/>
                          </a:ln>
                          <a:extLst>
                            <a:ext uri="{53640926-AAD7-44D8-BBD7-CCE9431645EC}">
                              <a14:shadowObscured xmlns:a14="http://schemas.microsoft.com/office/drawing/2010/main"/>
                            </a:ext>
                          </a:extLst>
                        </pic:spPr>
                      </pic:pic>
                    </a:graphicData>
                  </a:graphic>
                </wp:inline>
              </w:drawing>
            </w:r>
          </w:p>
        </w:tc>
      </w:tr>
    </w:tbl>
    <w:p w:rsidR="00154067" w:rsidRPr="00C97C7D" w:rsidRDefault="00154067" w:rsidP="00154067">
      <w:pPr>
        <w:spacing w:line="240" w:lineRule="auto"/>
        <w:jc w:val="center"/>
        <w:rPr>
          <w:i/>
        </w:rPr>
      </w:pPr>
      <w:bookmarkStart w:id="0" w:name="_Ref476304204"/>
      <w:bookmarkStart w:id="1" w:name="_Toc473014603"/>
      <w:r w:rsidRPr="00C97C7D">
        <w:rPr>
          <w:b/>
          <w:i/>
        </w:rPr>
        <w:t xml:space="preserve">Figure </w:t>
      </w:r>
      <w:r w:rsidR="00B668CC" w:rsidRPr="00C97C7D">
        <w:rPr>
          <w:b/>
          <w:i/>
        </w:rPr>
        <w:fldChar w:fldCharType="begin"/>
      </w:r>
      <w:r w:rsidRPr="00C97C7D">
        <w:rPr>
          <w:b/>
          <w:i/>
        </w:rPr>
        <w:instrText xml:space="preserve"> SEQ Figure \* ARABIC </w:instrText>
      </w:r>
      <w:r w:rsidR="00B668CC" w:rsidRPr="00C97C7D">
        <w:rPr>
          <w:b/>
          <w:i/>
        </w:rPr>
        <w:fldChar w:fldCharType="separate"/>
      </w:r>
      <w:r w:rsidR="0045723F">
        <w:rPr>
          <w:b/>
          <w:i/>
          <w:noProof/>
        </w:rPr>
        <w:t>1</w:t>
      </w:r>
      <w:r w:rsidR="00B668CC" w:rsidRPr="00C97C7D">
        <w:rPr>
          <w:b/>
          <w:i/>
        </w:rPr>
        <w:fldChar w:fldCharType="end"/>
      </w:r>
      <w:bookmarkEnd w:id="0"/>
      <w:r w:rsidRPr="00C97C7D">
        <w:rPr>
          <w:i/>
        </w:rPr>
        <w:t> : Localisation de la zone d’étude</w:t>
      </w:r>
      <w:bookmarkEnd w:id="1"/>
    </w:p>
    <w:p w:rsidR="00154067" w:rsidRDefault="00CE348D" w:rsidP="00250A88">
      <w:pPr>
        <w:jc w:val="both"/>
      </w:pPr>
      <w:r>
        <w:t>Baguinéda est un exemple remarquable de multiplicité ethni</w:t>
      </w:r>
      <w:r w:rsidR="001C0F54">
        <w:t>que agrégé</w:t>
      </w:r>
      <w:r w:rsidR="00250A88">
        <w:t>e</w:t>
      </w:r>
      <w:r w:rsidR="001C0F54">
        <w:t xml:space="preserve"> par l’agriculture. </w:t>
      </w:r>
      <w:r w:rsidR="00154067" w:rsidRPr="00A6691A">
        <w:t>La population de la co</w:t>
      </w:r>
      <w:r w:rsidR="001C0F54">
        <w:t>mmune rurale de Baguinéda-Camp</w:t>
      </w:r>
      <w:r w:rsidR="00154067" w:rsidRPr="00A6691A">
        <w:t xml:space="preserve"> est constituée de plusieurs groupes ethniques. Selon le recensement administratif à caractère électoral (RACE) de 2001, elle est estimée à 26 995 habitants répartis entre 13 863 hommes et 13 127 femmes. Les différents groupes ethniques de la commune sont composés de Bambara (ethnie dominante), </w:t>
      </w:r>
      <w:r>
        <w:t>P</w:t>
      </w:r>
      <w:r w:rsidR="00154067" w:rsidRPr="00A6691A">
        <w:t>eulhs, Bobos, Sénoufos, Miniankas et quelques Bozos venus de la région de Mopti. La langue couramment utilisée est le Bambara</w:t>
      </w:r>
      <w:r>
        <w:t xml:space="preserve"> </w:t>
      </w:r>
      <w:r w:rsidR="00B668CC">
        <w:fldChar w:fldCharType="begin"/>
      </w:r>
      <w:r w:rsidR="00317B9D">
        <w:instrText xml:space="preserve"> ADDIN EN.CITE &lt;EndNote&gt;&lt;Cite&gt;&lt;Author&gt;PROMISAM&lt;/Author&gt;&lt;Year&gt;2008&lt;/Year&gt;&lt;RecNum&gt;303&lt;/RecNum&gt;&lt;DisplayText&gt;&lt;style font="Times New Roman" size="10"&gt;(PROMISAM and USAID-Mali 2008)&lt;/style&gt;&lt;/DisplayText&gt;&lt;record&gt;&lt;rec-number&gt;303&lt;/rec-number&gt;&lt;foreign-keys&gt;&lt;key app="EN" db-id="9fwepsrswaze5fe2velxxsppptdpaz9f9s9z"&gt;303&lt;/key&gt;&lt;/foreign-keys&gt;&lt;ref-type name="Report"&gt;27&lt;/ref-type&gt;&lt;contributors&gt;&lt;authors&gt;&lt;author&gt;PROMISAM&lt;/author&gt;&lt;author&gt;USAID-Mali,&lt;/author&gt;&lt;/authors&gt;&lt;/contributors&gt;&lt;titles&gt;&lt;title&gt;Plan de Sécurité Alimentaire Commune Rurale de Baguinéda-Camp&lt;/title&gt;&lt;/titles&gt;&lt;dates&gt;&lt;year&gt;2008&lt;/year&gt;&lt;/dates&gt;&lt;urls&gt;&lt;/urls&gt;&lt;/record&gt;&lt;/Cite&gt;&lt;/EndNote&gt;</w:instrText>
      </w:r>
      <w:r w:rsidR="00B668CC">
        <w:fldChar w:fldCharType="separate"/>
      </w:r>
      <w:r w:rsidR="00317B9D" w:rsidRPr="00250A88">
        <w:t>(</w:t>
      </w:r>
      <w:hyperlink w:anchor="_ENREF_12" w:tooltip="PROMISAM, 2008 #303" w:history="1">
        <w:r w:rsidR="00210100" w:rsidRPr="00250A88">
          <w:t>PROMISAM and USAID-Mali 2008</w:t>
        </w:r>
      </w:hyperlink>
      <w:r w:rsidR="00317B9D" w:rsidRPr="00250A88">
        <w:t>)</w:t>
      </w:r>
      <w:r w:rsidR="00B668CC">
        <w:fldChar w:fldCharType="end"/>
      </w:r>
      <w:r w:rsidR="00154067" w:rsidRPr="00A6691A">
        <w:t xml:space="preserve">. </w:t>
      </w:r>
      <w:r w:rsidR="001C0F54">
        <w:t>L</w:t>
      </w:r>
      <w:r w:rsidR="001C0F54" w:rsidRPr="00A6691A">
        <w:t xml:space="preserve">’activité principale est </w:t>
      </w:r>
      <w:r w:rsidR="001C0F54">
        <w:t xml:space="preserve">une </w:t>
      </w:r>
      <w:r w:rsidR="001C0F54" w:rsidRPr="00A6691A">
        <w:t>agriculture</w:t>
      </w:r>
      <w:r w:rsidR="001C0F54">
        <w:t xml:space="preserve"> d’autant plus dynamique que le site est à seulement 30 km de la grande agglomération de Bamako</w:t>
      </w:r>
      <w:r w:rsidR="0026376C">
        <w:t xml:space="preserve"> la capitale du Mali estimée à 1,8 million</w:t>
      </w:r>
      <w:r w:rsidR="00250A88">
        <w:t>s</w:t>
      </w:r>
      <w:r w:rsidR="0026376C">
        <w:t xml:space="preserve"> d’habitants en 2009</w:t>
      </w:r>
      <w:r w:rsidR="001C0F54">
        <w:t>.</w:t>
      </w:r>
    </w:p>
    <w:p w:rsidR="0099755D" w:rsidRDefault="0099755D" w:rsidP="00902E0C">
      <w:pPr>
        <w:pStyle w:val="Titre2"/>
      </w:pPr>
      <w:r>
        <w:t>Le matériel de mesure</w:t>
      </w:r>
    </w:p>
    <w:p w:rsidR="0099755D" w:rsidRDefault="0099755D" w:rsidP="0099755D">
      <w:pPr>
        <w:pStyle w:val="Titre3"/>
      </w:pPr>
      <w:r>
        <w:t>Les mesures physiques</w:t>
      </w:r>
    </w:p>
    <w:p w:rsidR="00136A1D" w:rsidRDefault="00716B14" w:rsidP="00136A1D">
      <w:pPr>
        <w:jc w:val="both"/>
      </w:pPr>
      <w:r>
        <w:t xml:space="preserve">Les mesures physiques retenues dans cette étude </w:t>
      </w:r>
      <w:r w:rsidR="00863FC3">
        <w:t xml:space="preserve">ont </w:t>
      </w:r>
      <w:r>
        <w:t>port</w:t>
      </w:r>
      <w:r w:rsidR="00863FC3">
        <w:t>é</w:t>
      </w:r>
      <w:r w:rsidR="00BF4A36">
        <w:t xml:space="preserve"> </w:t>
      </w:r>
      <w:r>
        <w:t>essentiellement sur la topographie et la géométrie des drains</w:t>
      </w:r>
      <w:r w:rsidR="00136A1D">
        <w:t xml:space="preserve">. Le </w:t>
      </w:r>
      <w:r w:rsidR="00136A1D" w:rsidRPr="00136A1D">
        <w:rPr>
          <w:i/>
        </w:rPr>
        <w:t>GPS</w:t>
      </w:r>
      <w:r w:rsidR="008A2101">
        <w:rPr>
          <w:i/>
        </w:rPr>
        <w:t>,</w:t>
      </w:r>
      <w:r w:rsidR="00136A1D" w:rsidRPr="00136A1D">
        <w:rPr>
          <w:i/>
        </w:rPr>
        <w:t xml:space="preserve"> associé à un kit de mesure topographique simple</w:t>
      </w:r>
      <w:r w:rsidR="00136A1D">
        <w:t xml:space="preserve"> – un trépied laser, deux éléments de mire de 1</w:t>
      </w:r>
      <w:r w:rsidR="00270011">
        <w:t xml:space="preserve"> m </w:t>
      </w:r>
      <w:r w:rsidR="00136A1D">
        <w:t xml:space="preserve">chacun et un </w:t>
      </w:r>
      <w:r w:rsidR="00BF4A36">
        <w:t>ru</w:t>
      </w:r>
      <w:r w:rsidR="00136A1D">
        <w:t>ban de 30 ou 50 m de long – a été utilisé pour mesurer les dimensions et localiser les drains dans l’espa</w:t>
      </w:r>
      <w:r w:rsidR="001A51A4">
        <w:t>ce géographique. Disposer</w:t>
      </w:r>
      <w:r w:rsidR="00136A1D">
        <w:t xml:space="preserve"> des dimensions actuel</w:t>
      </w:r>
      <w:r w:rsidR="008A2101">
        <w:t>le</w:t>
      </w:r>
      <w:r w:rsidR="00136A1D">
        <w:t xml:space="preserve">s des drains permet </w:t>
      </w:r>
      <w:r w:rsidR="00BD0205">
        <w:t>–</w:t>
      </w:r>
      <w:r w:rsidR="00136A1D">
        <w:t xml:space="preserve"> par comparaison aux dimensions originelles – de discuter de i) leur</w:t>
      </w:r>
      <w:r w:rsidR="008A2101">
        <w:t>s</w:t>
      </w:r>
      <w:r w:rsidR="00136A1D">
        <w:t xml:space="preserve"> </w:t>
      </w:r>
      <w:r w:rsidR="00136A1D" w:rsidRPr="00323AA1">
        <w:rPr>
          <w:i/>
        </w:rPr>
        <w:t>fonctions actuelles</w:t>
      </w:r>
      <w:r w:rsidR="00136A1D">
        <w:t xml:space="preserve"> </w:t>
      </w:r>
      <w:r w:rsidR="00136A1D" w:rsidRPr="00323AA1">
        <w:rPr>
          <w:i/>
        </w:rPr>
        <w:t>ou passées</w:t>
      </w:r>
      <w:r w:rsidR="00136A1D">
        <w:t>, qu’elles soient pour l’évacuation des eaux, pour le stockage ou pour la ré</w:t>
      </w:r>
      <w:r w:rsidR="003D4786">
        <w:t>gulation du niveau de la nappe,</w:t>
      </w:r>
      <w:r w:rsidR="00136A1D">
        <w:t xml:space="preserve"> ii) l’origine des changements de dimensions et de leur</w:t>
      </w:r>
      <w:r w:rsidR="001A51A4">
        <w:t>s</w:t>
      </w:r>
      <w:r w:rsidR="00136A1D">
        <w:t xml:space="preserve"> relations aux questions de capacité d’entretien par les exploitants, iii) </w:t>
      </w:r>
      <w:r>
        <w:t>la disponibilité de leurs caractéristiques pour une programmation de futurs travaux d’entretien.</w:t>
      </w:r>
    </w:p>
    <w:p w:rsidR="003D4786" w:rsidRDefault="00716B14" w:rsidP="00136A1D">
      <w:pPr>
        <w:jc w:val="both"/>
      </w:pPr>
      <w:r>
        <w:lastRenderedPageBreak/>
        <w:t xml:space="preserve">Les mesures physiques ont également porté sur les propriétés hydrauliques des sols. Le </w:t>
      </w:r>
      <w:r w:rsidRPr="00BD0205">
        <w:rPr>
          <w:i/>
        </w:rPr>
        <w:t>GPS associé</w:t>
      </w:r>
      <w:r w:rsidR="00BD0205" w:rsidRPr="00BD0205">
        <w:rPr>
          <w:i/>
        </w:rPr>
        <w:t xml:space="preserve"> à un infiltromètre double anneaux</w:t>
      </w:r>
      <w:r w:rsidR="003D4786">
        <w:rPr>
          <w:rStyle w:val="Appelnotedebasdep"/>
          <w:i/>
        </w:rPr>
        <w:footnoteReference w:id="1"/>
      </w:r>
      <w:r w:rsidR="00BD0205">
        <w:t xml:space="preserve"> </w:t>
      </w:r>
      <w:r w:rsidR="00B668CC" w:rsidRPr="00A6691A">
        <w:fldChar w:fldCharType="begin"/>
      </w:r>
      <w:r w:rsidR="00863FC3" w:rsidRPr="00A6691A">
        <w:instrText xml:space="preserve"> ADDIN ZOTERO_ITEM CSL_CITATION {"citationID":"Pv3hH1cG","properties":{"formattedCitation":"(Boivin 1990)","plainCitation":"(Boivin 1990)"},"citationItems":[{"id":986,"uris":["http://zotero.org/users/local/3K8zBorY/items/NDG9RTXV"],"uri":["http://zotero.org/users/local/3K8zBorY/items/NDG9RTXV"],"itemData":{"id":986,"type":"article-journal","title":"Caractérisation de l'infiltrabilité d'un sol par la méthode Muntz: variabilité de la mesure","container-title":"Bulletin-Réseau Erosion","page":"14-24","issue":"10","journalAbbreviation":"Bulletin-Réseau Erosion","author":[{"family":"Boivin","given":"Pascal"}],"issued":{"date-parts":[["1990"]]}}}],"schema":"https://github.com/citation-style-language/schema/raw/master/csl-citation.json"} </w:instrText>
      </w:r>
      <w:r w:rsidR="00B668CC" w:rsidRPr="00A6691A">
        <w:fldChar w:fldCharType="separate"/>
      </w:r>
      <w:r w:rsidR="00863FC3" w:rsidRPr="00A6691A">
        <w:t>(Boivin 1990)</w:t>
      </w:r>
      <w:r w:rsidR="00B668CC" w:rsidRPr="00A6691A">
        <w:fldChar w:fldCharType="end"/>
      </w:r>
      <w:r w:rsidR="00863FC3" w:rsidRPr="00A6691A">
        <w:t> </w:t>
      </w:r>
      <w:r w:rsidR="00BD0205">
        <w:t xml:space="preserve">a été mis en œuvre pour mesurer la vitesse d’infiltration instantanée et la perméabilité </w:t>
      </w:r>
      <w:r w:rsidR="00BF08B4">
        <w:t>dans des parcelles</w:t>
      </w:r>
      <w:r w:rsidR="00BD0205">
        <w:t xml:space="preserve"> </w:t>
      </w:r>
      <w:r w:rsidR="00863FC3">
        <w:t>rapportées par les exploitants</w:t>
      </w:r>
      <w:r w:rsidR="006F1AA9">
        <w:t xml:space="preserve"> et les cadres de l’OPIB</w:t>
      </w:r>
      <w:r w:rsidR="00863FC3">
        <w:t xml:space="preserve"> comme </w:t>
      </w:r>
      <w:r w:rsidR="00BF4A36">
        <w:t xml:space="preserve">ayant </w:t>
      </w:r>
      <w:r w:rsidR="00863FC3">
        <w:t>de</w:t>
      </w:r>
      <w:r w:rsidR="00BF4A36">
        <w:t>s</w:t>
      </w:r>
      <w:r w:rsidR="00863FC3">
        <w:t xml:space="preserve"> </w:t>
      </w:r>
      <w:r w:rsidR="00863FC3" w:rsidRPr="00863FC3">
        <w:rPr>
          <w:i/>
        </w:rPr>
        <w:t>sols filtrants</w:t>
      </w:r>
      <w:r w:rsidR="00BD0205">
        <w:t>.</w:t>
      </w:r>
      <w:r w:rsidR="001A51A4">
        <w:t xml:space="preserve"> A partir d’un</w:t>
      </w:r>
      <w:r w:rsidR="00863FC3">
        <w:t xml:space="preserve"> procédé aléatoire </w:t>
      </w:r>
      <w:r w:rsidR="001A51A4">
        <w:t xml:space="preserve">de sélection </w:t>
      </w:r>
      <w:r w:rsidR="00863FC3">
        <w:t>de la localisation</w:t>
      </w:r>
      <w:r w:rsidR="001A51A4">
        <w:t xml:space="preserve"> des sites</w:t>
      </w:r>
      <w:r w:rsidR="00863FC3">
        <w:t>, 25 points ont fait l’objet de</w:t>
      </w:r>
      <w:r w:rsidR="008A2101">
        <w:t xml:space="preserve"> mesure</w:t>
      </w:r>
      <w:r w:rsidR="00863FC3">
        <w:t xml:space="preserve"> à Baguinéda amont (secteurs 1 et 2), 8 point</w:t>
      </w:r>
      <w:r w:rsidR="008A2101">
        <w:t>s</w:t>
      </w:r>
      <w:r w:rsidR="00863FC3">
        <w:t xml:space="preserve"> à Baguinéda Aval (secteurs 3 et 4). L’intérêt porté sur les sols filtrants devait servir à </w:t>
      </w:r>
      <w:r w:rsidR="006F1AA9">
        <w:t>interpréter</w:t>
      </w:r>
      <w:r w:rsidR="00863FC3">
        <w:t xml:space="preserve"> les</w:t>
      </w:r>
      <w:r w:rsidR="006F1AA9">
        <w:t xml:space="preserve"> données relatives à </w:t>
      </w:r>
      <w:r w:rsidR="006F1AA9" w:rsidRPr="006F1AA9">
        <w:rPr>
          <w:i/>
        </w:rPr>
        <w:t>l’engorgement</w:t>
      </w:r>
      <w:r w:rsidR="006F1AA9">
        <w:t xml:space="preserve"> (voir ci-dessous QTE1) et à </w:t>
      </w:r>
      <w:r w:rsidR="006F1AA9" w:rsidRPr="006F1AA9">
        <w:rPr>
          <w:i/>
        </w:rPr>
        <w:t>l’équité dans la distribution de l’eau</w:t>
      </w:r>
      <w:r w:rsidR="006F1AA9">
        <w:rPr>
          <w:i/>
        </w:rPr>
        <w:t xml:space="preserve"> </w:t>
      </w:r>
      <w:r w:rsidR="006F1AA9" w:rsidRPr="006F1AA9">
        <w:t>(</w:t>
      </w:r>
      <w:r w:rsidR="006F1AA9">
        <w:t>QTE4).</w:t>
      </w:r>
    </w:p>
    <w:p w:rsidR="00863FC3" w:rsidRDefault="00323AA1" w:rsidP="00323AA1">
      <w:pPr>
        <w:pStyle w:val="Titre3"/>
      </w:pPr>
      <w:r>
        <w:t xml:space="preserve">Les mesures </w:t>
      </w:r>
      <w:r w:rsidR="001A51A4">
        <w:t>« </w:t>
      </w:r>
      <w:r>
        <w:t>d’intensité</w:t>
      </w:r>
      <w:r w:rsidR="001A51A4">
        <w:t> »</w:t>
      </w:r>
      <w:r>
        <w:t xml:space="preserve"> d’opinion</w:t>
      </w:r>
    </w:p>
    <w:p w:rsidR="002E2588" w:rsidRPr="002E2588" w:rsidRDefault="00507187" w:rsidP="00C63A87">
      <w:pPr>
        <w:jc w:val="both"/>
      </w:pPr>
      <w:r>
        <w:rPr>
          <w:noProof/>
          <w:lang w:eastAsia="fr-FR"/>
        </w:rPr>
        <w:drawing>
          <wp:anchor distT="0" distB="0" distL="114300" distR="114300" simplePos="0" relativeHeight="251662336" behindDoc="0" locked="0" layoutInCell="1" allowOverlap="1" wp14:anchorId="610C2558" wp14:editId="2A0184ED">
            <wp:simplePos x="0" y="0"/>
            <wp:positionH relativeFrom="column">
              <wp:posOffset>1998297</wp:posOffset>
            </wp:positionH>
            <wp:positionV relativeFrom="paragraph">
              <wp:posOffset>2238678</wp:posOffset>
            </wp:positionV>
            <wp:extent cx="1788482" cy="1678675"/>
            <wp:effectExtent l="19050" t="0" r="2218"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788482" cy="1678675"/>
                    </a:xfrm>
                    <a:prstGeom prst="rect">
                      <a:avLst/>
                    </a:prstGeom>
                    <a:noFill/>
                    <a:ln w="9525">
                      <a:noFill/>
                      <a:miter lim="800000"/>
                      <a:headEnd/>
                      <a:tailEnd/>
                    </a:ln>
                  </pic:spPr>
                </pic:pic>
              </a:graphicData>
            </a:graphic>
          </wp:anchor>
        </w:drawing>
      </w:r>
      <w:r w:rsidR="005A3ABD">
        <w:t xml:space="preserve">Un questionnaire et un outil </w:t>
      </w:r>
      <w:r w:rsidR="00C63A87">
        <w:t>innovant</w:t>
      </w:r>
      <w:r w:rsidR="005A3ABD">
        <w:t xml:space="preserve"> ont été mis en œuvre pour mesurer l’opinion</w:t>
      </w:r>
      <w:r w:rsidR="001A51A4">
        <w:t xml:space="preserve"> et formater les données pour leur </w:t>
      </w:r>
      <w:r w:rsidR="009B118B">
        <w:t xml:space="preserve">analyse </w:t>
      </w:r>
      <w:r w:rsidR="00AD7905">
        <w:t>statistique</w:t>
      </w:r>
      <w:r w:rsidR="005A3ABD">
        <w:t xml:space="preserve">. </w:t>
      </w:r>
      <w:r w:rsidR="002E2588" w:rsidRPr="002E2588">
        <w:t xml:space="preserve">Pour renseigner l’importance relative </w:t>
      </w:r>
      <w:r w:rsidR="00C63A87">
        <w:t>des</w:t>
      </w:r>
      <w:r w:rsidR="000C32D5">
        <w:t xml:space="preserve"> facteurs influençant</w:t>
      </w:r>
      <w:r w:rsidR="002E2588" w:rsidRPr="002E2588">
        <w:t xml:space="preserve"> la perception de l’agriculteur et expliquer son degré d’implication dans les travaux de maintenance des drains, </w:t>
      </w:r>
      <w:r w:rsidR="00C63A87">
        <w:t>un</w:t>
      </w:r>
      <w:r w:rsidR="002E2588" w:rsidRPr="002E2588">
        <w:t xml:space="preserve"> questionnaire</w:t>
      </w:r>
      <w:r w:rsidR="00AD7905">
        <w:t xml:space="preserve"> « Fermé Codé et Scoré (QFCS) » </w:t>
      </w:r>
      <w:r w:rsidR="00B668CC">
        <w:fldChar w:fldCharType="begin"/>
      </w:r>
      <w:r w:rsidR="00903F61">
        <w:instrText xml:space="preserve"> ADDIN EN.CITE &lt;EndNote&gt;&lt;Cite&gt;&lt;Author&gt;Keita&lt;/Author&gt;&lt;Year&gt;2017&lt;/Year&gt;&lt;RecNum&gt;308&lt;/RecNum&gt;&lt;DisplayText&gt;&lt;style font="Times New Roman" size="10"&gt;(Keïta 2017)&lt;/style&gt;&lt;/DisplayText&gt;&lt;record&gt;&lt;rec-number&gt;308&lt;/rec-number&gt;&lt;foreign-keys&gt;&lt;key app="EN" db-id="9fwepsrswaze5fe2velxxsppptdpaz9f9s9z"&gt;308&lt;/key&gt;&lt;/foreign-keys&gt;&lt;ref-type name="Book"&gt;6&lt;/ref-type&gt;&lt;contributors&gt;&lt;authors&gt;&lt;author&gt;Amadou Keïta&lt;/author&gt;&lt;/authors&gt;&lt;/contributors&gt;&lt;titles&gt;&lt;title&gt;Design and Analysis of Experiments and Surveys - V1.7. Courses for MSc and PhD&lt;/title&gt;&lt;/titles&gt;&lt;section&gt;184&lt;/section&gt;&lt;dates&gt;&lt;year&gt;2017&lt;/year&gt;&lt;/dates&gt;&lt;pub-location&gt;Ouagadougou, Burkina Faso&lt;/pub-location&gt;&lt;publisher&gt;International Institute for Water and Environmental Engineering (2iE)&lt;/publisher&gt;&lt;urls&gt;&lt;/urls&gt;&lt;/record&gt;&lt;/Cite&gt;&lt;/EndNote&gt;</w:instrText>
      </w:r>
      <w:r w:rsidR="00B668CC">
        <w:fldChar w:fldCharType="separate"/>
      </w:r>
      <w:r w:rsidR="00903F61" w:rsidRPr="00903F61">
        <w:rPr>
          <w:rFonts w:cs="Times New Roman"/>
          <w:noProof/>
        </w:rPr>
        <w:t>(</w:t>
      </w:r>
      <w:hyperlink w:anchor="_ENREF_5" w:tooltip="Keïta, 2017 #308" w:history="1">
        <w:r w:rsidR="00210100" w:rsidRPr="00903F61">
          <w:rPr>
            <w:rFonts w:cs="Times New Roman"/>
            <w:noProof/>
          </w:rPr>
          <w:t>Keïta 2017</w:t>
        </w:r>
      </w:hyperlink>
      <w:r w:rsidR="00903F61" w:rsidRPr="00903F61">
        <w:rPr>
          <w:rFonts w:cs="Times New Roman"/>
          <w:noProof/>
        </w:rPr>
        <w:t>)</w:t>
      </w:r>
      <w:r w:rsidR="00B668CC">
        <w:fldChar w:fldCharType="end"/>
      </w:r>
      <w:r w:rsidR="00B63CA2">
        <w:t xml:space="preserve"> - </w:t>
      </w:r>
      <w:r w:rsidR="002E2588" w:rsidRPr="002E2588">
        <w:t xml:space="preserve"> incluant la prise en compte des commentaires ou observations faites lors de l’entretien</w:t>
      </w:r>
      <w:r w:rsidR="00B63CA2">
        <w:t xml:space="preserve"> – a été mis en </w:t>
      </w:r>
      <w:proofErr w:type="spellStart"/>
      <w:r w:rsidR="00B63CA2">
        <w:t>oeuvre</w:t>
      </w:r>
      <w:proofErr w:type="spellEnd"/>
      <w:r w:rsidR="002E2588" w:rsidRPr="002E2588">
        <w:t>.</w:t>
      </w:r>
      <w:r w:rsidR="005A3ABD">
        <w:t xml:space="preserve"> </w:t>
      </w:r>
      <w:r w:rsidR="00C63A87">
        <w:t>Par ailleurs, p</w:t>
      </w:r>
      <w:r w:rsidR="002E2588" w:rsidRPr="002E2588">
        <w:t xml:space="preserve">our pallier aux difficultés d’utilisation du </w:t>
      </w:r>
      <w:r w:rsidR="00B63CA2">
        <w:t>«</w:t>
      </w:r>
      <w:proofErr w:type="spellStart"/>
      <w:r w:rsidR="002E2588" w:rsidRPr="002E2588">
        <w:t>scoring</w:t>
      </w:r>
      <w:proofErr w:type="spellEnd"/>
      <w:r w:rsidR="00B63CA2">
        <w:t xml:space="preserve">  » </w:t>
      </w:r>
      <w:r w:rsidR="00C63A87">
        <w:t>numérique</w:t>
      </w:r>
      <w:r w:rsidR="002E2588" w:rsidRPr="002E2588">
        <w:t xml:space="preserve"> dans des milieux </w:t>
      </w:r>
      <w:r w:rsidR="00C63A87">
        <w:t xml:space="preserve">paysans </w:t>
      </w:r>
      <w:r w:rsidR="002E2588" w:rsidRPr="002E2588">
        <w:t xml:space="preserve">faiblement alphabétisés, </w:t>
      </w:r>
      <w:r w:rsidR="002E2588">
        <w:t xml:space="preserve">on a utilisé le </w:t>
      </w:r>
      <w:r w:rsidR="002E2588" w:rsidRPr="00415BBF">
        <w:rPr>
          <w:i/>
        </w:rPr>
        <w:t>WASO</w:t>
      </w:r>
      <w:r w:rsidR="00903F61">
        <w:rPr>
          <w:rStyle w:val="Appelnotedebasdep"/>
          <w:i/>
        </w:rPr>
        <w:footnoteReference w:id="2"/>
      </w:r>
      <w:r w:rsidR="002E2588">
        <w:t>, un outil de mesure d’intensité d’opinion développé par A. Keita</w:t>
      </w:r>
      <w:r w:rsidR="002E2588" w:rsidRPr="002E2588">
        <w:t xml:space="preserve"> (</w:t>
      </w:r>
      <w:r w:rsidR="002E2588">
        <w:t>2016). Cet outil permet</w:t>
      </w:r>
      <w:r w:rsidR="002E2588" w:rsidRPr="002E2588">
        <w:t xml:space="preserve"> aux agriculteurs d’affecter un </w:t>
      </w:r>
      <w:r w:rsidR="002E2588">
        <w:t>score aux réponses anticipées d’un</w:t>
      </w:r>
      <w:r w:rsidR="002E2588" w:rsidRPr="002E2588">
        <w:t xml:space="preserve"> questionnaire</w:t>
      </w:r>
      <w:r w:rsidR="002E2588">
        <w:t xml:space="preserve"> proposé</w:t>
      </w:r>
      <w:r w:rsidR="002E2588" w:rsidRPr="002E2588">
        <w:t xml:space="preserve">. </w:t>
      </w:r>
      <w:r w:rsidR="002E2588">
        <w:t xml:space="preserve">Le WASO est une innovation inspiré simultanément de l’AWALE traditionnel Africain et du boulier </w:t>
      </w:r>
      <w:r w:rsidR="00903F61">
        <w:t>traditionnel</w:t>
      </w:r>
      <w:r w:rsidR="002E2588">
        <w:t xml:space="preserve"> Japonais appelé SOROBAN</w:t>
      </w:r>
      <w:r w:rsidR="00903F61">
        <w:t xml:space="preserve"> </w:t>
      </w:r>
      <w:r w:rsidR="00B668CC">
        <w:fldChar w:fldCharType="begin"/>
      </w:r>
      <w:r w:rsidR="00903F61">
        <w:instrText xml:space="preserve"> ADDIN EN.CITE &lt;EndNote&gt;&lt;Cite&gt;&lt;Author&gt;Rutabara&lt;/Author&gt;&lt;Year&gt;2017&lt;/Year&gt;&lt;RecNum&gt;302&lt;/RecNum&gt;&lt;DisplayText&gt;&lt;style font="Times New Roman" size="10"&gt;(Rutabara 2017)&lt;/style&gt;&lt;/DisplayText&gt;&lt;record&gt;&lt;rec-number&gt;302&lt;/rec-number&gt;&lt;foreign-keys&gt;&lt;key app="EN" db-id="9fwepsrswaze5fe2velxxsppptdpaz9f9s9z"&gt;302&lt;/key&gt;&lt;/foreign-keys&gt;&lt;ref-type name="Thesis"&gt;32&lt;/ref-type&gt;&lt;contributors&gt;&lt;authors&gt;&lt;author&gt;Héritier Rutabara&lt;/author&gt;&lt;/authors&gt;&lt;tertiary-authors&gt;&lt;author&gt;Amadou KEITA&lt;/author&gt;&lt;/tertiary-authors&gt;&lt;/contributors&gt;&lt;titles&gt;&lt;title&gt;La perception de l&amp;apos;entretien du réseau de drainage et sa solution selon les agriculteurs - Étude de cas de Baguinéda amont (OPIB / Mali)&lt;/title&gt;&lt;secondary-title&gt;Laboratoire Hydrologie et Ressource en Eau&lt;/secondary-title&gt;&lt;/titles&gt;&lt;pages&gt;119&lt;/pages&gt;&lt;volume&gt;Master&lt;/volume&gt;&lt;dates&gt;&lt;year&gt;2017&lt;/year&gt;&lt;/dates&gt;&lt;pub-location&gt;Ouagadougou, Burkina Faso&lt;/pub-location&gt;&lt;publisher&gt;Institut International d&amp;apos;Ingénierie de l&amp;apos;Eau et de l&amp;apos;Environnement&lt;/publisher&gt;&lt;urls&gt;&lt;/urls&gt;&lt;/record&gt;&lt;/Cite&gt;&lt;/EndNote&gt;</w:instrText>
      </w:r>
      <w:r w:rsidR="00B668CC">
        <w:fldChar w:fldCharType="separate"/>
      </w:r>
      <w:r w:rsidR="00903F61" w:rsidRPr="00903F61">
        <w:rPr>
          <w:rFonts w:cs="Times New Roman"/>
          <w:noProof/>
        </w:rPr>
        <w:t>(</w:t>
      </w:r>
      <w:hyperlink w:anchor="_ENREF_13" w:tooltip="Rutabara, 2017 #302" w:history="1">
        <w:r w:rsidR="00210100" w:rsidRPr="00903F61">
          <w:rPr>
            <w:rFonts w:cs="Times New Roman"/>
            <w:noProof/>
          </w:rPr>
          <w:t>Rutabara 2017</w:t>
        </w:r>
      </w:hyperlink>
      <w:r w:rsidR="00903F61" w:rsidRPr="00903F61">
        <w:rPr>
          <w:rFonts w:cs="Times New Roman"/>
          <w:noProof/>
        </w:rPr>
        <w:t>)</w:t>
      </w:r>
      <w:r w:rsidR="00B668CC">
        <w:fldChar w:fldCharType="end"/>
      </w:r>
      <w:r w:rsidR="002E2588">
        <w:t xml:space="preserve">. Du fait de sa configuration qui ressemble à deux AWALE accolés, </w:t>
      </w:r>
      <w:r w:rsidR="00C63A87">
        <w:t>les paysans</w:t>
      </w:r>
      <w:r w:rsidR="002E2588">
        <w:t xml:space="preserve"> se l’approprie</w:t>
      </w:r>
      <w:r w:rsidR="00C63A87">
        <w:t>nt</w:t>
      </w:r>
      <w:r w:rsidR="002E2588">
        <w:t xml:space="preserve"> pr</w:t>
      </w:r>
      <w:r w:rsidR="006C73D8">
        <w:t>esque immédiatement</w:t>
      </w:r>
      <w:r w:rsidR="00B63CA2">
        <w:t>,</w:t>
      </w:r>
      <w:r w:rsidR="006C73D8">
        <w:t xml:space="preserve"> créant des conditions favorisant</w:t>
      </w:r>
      <w:r w:rsidR="002E2588">
        <w:t xml:space="preserve"> la communication</w:t>
      </w:r>
      <w:r w:rsidR="00903F61">
        <w:t xml:space="preserve"> </w:t>
      </w:r>
      <w:r w:rsidR="00B668CC">
        <w:fldChar w:fldCharType="begin"/>
      </w:r>
      <w:r w:rsidR="00903F61">
        <w:instrText xml:space="preserve"> ADDIN EN.CITE &lt;EndNote&gt;&lt;Cite&gt;&lt;Author&gt;Sandwidi&lt;/Author&gt;&lt;Year&gt;2017&lt;/Year&gt;&lt;RecNum&gt;301&lt;/RecNum&gt;&lt;DisplayText&gt;&lt;style font="Times New Roman" size="10"&gt;(Sandwidi 2017)&lt;/style&gt;&lt;/DisplayText&gt;&lt;record&gt;&lt;rec-number&gt;301&lt;/rec-number&gt;&lt;foreign-keys&gt;&lt;key app="EN" db-id="9fwepsrswaze5fe2velxxsppptdpaz9f9s9z"&gt;301&lt;/key&gt;&lt;/foreign-keys&gt;&lt;ref-type name="Thesis"&gt;32&lt;/ref-type&gt;&lt;contributors&gt;&lt;authors&gt;&lt;author&gt;Sibri Alphonse Sandwidi&lt;/author&gt;&lt;/authors&gt;&lt;tertiary-authors&gt;&lt;author&gt;Amadou KEITA&lt;/author&gt;&lt;/tertiary-authors&gt;&lt;/contributors&gt;&lt;titles&gt;&lt;title&gt;La perception de l’entretien du réseau de drainage et sa solution selon les agriculteurs : Cas de Baguinéda aval (OPIB/Mali)&lt;/title&gt;&lt;secondary-title&gt;Laboratoire Hydrlologie et Ressources en Eau&lt;/secondary-title&gt;&lt;/titles&gt;&lt;pages&gt;117&lt;/pages&gt;&lt;volume&gt;Master&lt;/volume&gt;&lt;dates&gt;&lt;year&gt;2017&lt;/year&gt;&lt;/dates&gt;&lt;pub-location&gt;Ouagadougou, Burkina Faso&lt;/pub-location&gt;&lt;publisher&gt;Institut International d&amp;apos;Ingénierie de l&amp;apos;Eau et de l&amp;apos;Environnement&lt;/publisher&gt;&lt;urls&gt;&lt;/urls&gt;&lt;/record&gt;&lt;/Cite&gt;&lt;/EndNote&gt;</w:instrText>
      </w:r>
      <w:r w:rsidR="00B668CC">
        <w:fldChar w:fldCharType="separate"/>
      </w:r>
      <w:r w:rsidR="00903F61" w:rsidRPr="00903F61">
        <w:rPr>
          <w:rFonts w:cs="Times New Roman"/>
          <w:noProof/>
        </w:rPr>
        <w:t>(</w:t>
      </w:r>
      <w:hyperlink w:anchor="_ENREF_14" w:tooltip="Sandwidi, 2017 #301" w:history="1">
        <w:r w:rsidR="00210100" w:rsidRPr="00903F61">
          <w:rPr>
            <w:rFonts w:cs="Times New Roman"/>
            <w:noProof/>
          </w:rPr>
          <w:t>Sandwidi 2017</w:t>
        </w:r>
      </w:hyperlink>
      <w:r w:rsidR="00903F61" w:rsidRPr="00903F61">
        <w:rPr>
          <w:rFonts w:cs="Times New Roman"/>
          <w:noProof/>
        </w:rPr>
        <w:t>)</w:t>
      </w:r>
      <w:r w:rsidR="00B668CC">
        <w:fldChar w:fldCharType="end"/>
      </w:r>
      <w:r w:rsidR="002E2588">
        <w:t xml:space="preserve">. </w:t>
      </w:r>
      <w:r w:rsidR="009B118B">
        <w:t>Les données issues des colonnes du WASO (</w:t>
      </w:r>
      <w:r w:rsidR="00B44D40">
        <w:fldChar w:fldCharType="begin"/>
      </w:r>
      <w:r w:rsidR="00B44D40">
        <w:instrText xml:space="preserve"> REF _Ref476314258 \h  \* MERGEFORMAT </w:instrText>
      </w:r>
      <w:r w:rsidR="00B44D40">
        <w:fldChar w:fldCharType="separate"/>
      </w:r>
      <w:r w:rsidR="00903F61" w:rsidRPr="00C40909">
        <w:rPr>
          <w:rFonts w:cs="Times New Roman"/>
          <w:b/>
          <w:i/>
          <w:szCs w:val="20"/>
        </w:rPr>
        <w:t>Figure 2</w:t>
      </w:r>
      <w:r w:rsidR="00B44D40">
        <w:fldChar w:fldCharType="end"/>
      </w:r>
      <w:r w:rsidR="009B118B">
        <w:t>) correspondent à des échantillons indépendants, se prêtant aisément à l’analyse des variances (ANOVA) en vue de comparer ou hiérarchiser les opinions issues des enquêtes.</w:t>
      </w:r>
    </w:p>
    <w:p w:rsidR="00AC1D1B" w:rsidRDefault="00AC1D1B" w:rsidP="00AC1D1B">
      <w:pPr>
        <w:autoSpaceDE w:val="0"/>
        <w:autoSpaceDN w:val="0"/>
        <w:adjustRightInd w:val="0"/>
        <w:spacing w:line="360" w:lineRule="auto"/>
        <w:jc w:val="both"/>
      </w:pPr>
    </w:p>
    <w:p w:rsidR="007B5F46" w:rsidRDefault="007B5F46" w:rsidP="00AC1D1B">
      <w:pPr>
        <w:autoSpaceDE w:val="0"/>
        <w:autoSpaceDN w:val="0"/>
        <w:adjustRightInd w:val="0"/>
        <w:spacing w:line="360" w:lineRule="auto"/>
        <w:jc w:val="both"/>
      </w:pPr>
    </w:p>
    <w:p w:rsidR="007B5F46" w:rsidRDefault="007B5F46" w:rsidP="00AC1D1B">
      <w:pPr>
        <w:autoSpaceDE w:val="0"/>
        <w:autoSpaceDN w:val="0"/>
        <w:adjustRightInd w:val="0"/>
        <w:spacing w:line="360" w:lineRule="auto"/>
        <w:jc w:val="both"/>
      </w:pPr>
    </w:p>
    <w:p w:rsidR="00903F61" w:rsidRDefault="00903F61" w:rsidP="00AC1D1B">
      <w:pPr>
        <w:autoSpaceDE w:val="0"/>
        <w:autoSpaceDN w:val="0"/>
        <w:adjustRightInd w:val="0"/>
        <w:spacing w:line="360" w:lineRule="auto"/>
        <w:jc w:val="both"/>
      </w:pPr>
    </w:p>
    <w:p w:rsidR="008B21C8" w:rsidRDefault="008B21C8" w:rsidP="00AC1D1B">
      <w:pPr>
        <w:autoSpaceDE w:val="0"/>
        <w:autoSpaceDN w:val="0"/>
        <w:adjustRightInd w:val="0"/>
        <w:spacing w:line="360" w:lineRule="auto"/>
        <w:jc w:val="both"/>
      </w:pPr>
    </w:p>
    <w:tbl>
      <w:tblPr>
        <w:tblStyle w:val="Grilledutableau"/>
        <w:tblW w:w="0" w:type="auto"/>
        <w:tblLook w:val="04A0" w:firstRow="1" w:lastRow="0" w:firstColumn="1" w:lastColumn="0" w:noHBand="0" w:noVBand="1"/>
      </w:tblPr>
      <w:tblGrid>
        <w:gridCol w:w="9286"/>
      </w:tblGrid>
      <w:tr w:rsidR="008A33DF" w:rsidRPr="008A33DF" w:rsidTr="008C3E12">
        <w:tc>
          <w:tcPr>
            <w:tcW w:w="9286" w:type="dxa"/>
          </w:tcPr>
          <w:p w:rsidR="008C3E12" w:rsidRPr="00B04CBD" w:rsidRDefault="00B668CC" w:rsidP="008C3E12">
            <w:pPr>
              <w:spacing w:after="200" w:line="276" w:lineRule="auto"/>
              <w:jc w:val="left"/>
              <w:rPr>
                <w:rFonts w:ascii="Times New Roman" w:hAnsi="Times New Roman"/>
                <w:color w:val="262626" w:themeColor="text1" w:themeTint="D9"/>
                <w:sz w:val="14"/>
                <w:szCs w:val="14"/>
              </w:rPr>
            </w:pPr>
            <w:r w:rsidRPr="00F404AA">
              <w:rPr>
                <w:color w:val="262626" w:themeColor="text1" w:themeTint="D9"/>
                <w:sz w:val="14"/>
                <w:szCs w:val="14"/>
              </w:rPr>
              <w:t>Ce paysan attribue une note de 01/20 au riz. Ce qui signifie que cette culture est moins sensible à l’engorgement même si</w:t>
            </w:r>
            <w:r w:rsidRPr="00F404AA">
              <w:rPr>
                <w:color w:val="262626" w:themeColor="text1" w:themeTint="D9"/>
                <w:sz w:val="14"/>
                <w:szCs w:val="14"/>
              </w:rPr>
              <w:br/>
              <w:t xml:space="preserve"> les drains ne sont pas fonctionnels. Par contre, il attribue une note de 20/20 à la tomate. Ainsi, pour lui la tomate</w:t>
            </w:r>
            <w:r w:rsidRPr="00F404AA">
              <w:rPr>
                <w:color w:val="262626" w:themeColor="text1" w:themeTint="D9"/>
                <w:sz w:val="14"/>
                <w:szCs w:val="14"/>
              </w:rPr>
              <w:br/>
              <w:t xml:space="preserve"> est une culture  qui nécessite un réseau de drainage opérationnel et encourage à l’entretien des drains.</w:t>
            </w:r>
          </w:p>
        </w:tc>
      </w:tr>
    </w:tbl>
    <w:p w:rsidR="00AC1D1B" w:rsidRPr="00A6691A" w:rsidRDefault="00AC1D1B" w:rsidP="008C606B">
      <w:pPr>
        <w:pStyle w:val="Lgende"/>
        <w:spacing w:before="120" w:after="120"/>
      </w:pPr>
      <w:bookmarkStart w:id="2" w:name="_Ref476314258"/>
      <w:bookmarkStart w:id="3" w:name="_Toc473392681"/>
      <w:r w:rsidRPr="00903F61">
        <w:rPr>
          <w:b/>
        </w:rPr>
        <w:t xml:space="preserve">Figure </w:t>
      </w:r>
      <w:r w:rsidR="00B668CC" w:rsidRPr="00903F61">
        <w:rPr>
          <w:b/>
        </w:rPr>
        <w:fldChar w:fldCharType="begin"/>
      </w:r>
      <w:r w:rsidRPr="00903F61">
        <w:rPr>
          <w:b/>
        </w:rPr>
        <w:instrText xml:space="preserve"> SEQ Figure \* ARABIC </w:instrText>
      </w:r>
      <w:r w:rsidR="00B668CC" w:rsidRPr="00903F61">
        <w:rPr>
          <w:b/>
        </w:rPr>
        <w:fldChar w:fldCharType="separate"/>
      </w:r>
      <w:r w:rsidR="0045723F" w:rsidRPr="00903F61">
        <w:rPr>
          <w:b/>
          <w:noProof/>
        </w:rPr>
        <w:t>2</w:t>
      </w:r>
      <w:r w:rsidR="00B668CC" w:rsidRPr="00903F61">
        <w:rPr>
          <w:b/>
        </w:rPr>
        <w:fldChar w:fldCharType="end"/>
      </w:r>
      <w:bookmarkEnd w:id="2"/>
      <w:r w:rsidRPr="00A6691A">
        <w:t xml:space="preserve">: </w:t>
      </w:r>
      <w:r w:rsidR="008C69CD">
        <w:t>Évaluation</w:t>
      </w:r>
      <w:r w:rsidRPr="00D23195">
        <w:t xml:space="preserve"> </w:t>
      </w:r>
      <w:r w:rsidR="00D23195" w:rsidRPr="00D23195">
        <w:t xml:space="preserve">par le WASO </w:t>
      </w:r>
      <w:r w:rsidRPr="00D23195">
        <w:t xml:space="preserve">du </w:t>
      </w:r>
      <w:r w:rsidR="00D23195" w:rsidRPr="00D23195">
        <w:t xml:space="preserve">facteur </w:t>
      </w:r>
      <w:r w:rsidRPr="00D23195">
        <w:t>incitatif</w:t>
      </w:r>
      <w:r w:rsidR="00D23195">
        <w:t xml:space="preserve"> « </w:t>
      </w:r>
      <w:r w:rsidRPr="00A6691A">
        <w:t xml:space="preserve">type de culture </w:t>
      </w:r>
      <w:r w:rsidR="00DF4DCE">
        <w:t xml:space="preserve">supportant </w:t>
      </w:r>
      <w:r w:rsidR="000C32D5">
        <w:t xml:space="preserve">mal </w:t>
      </w:r>
      <w:r w:rsidR="00DF4DCE">
        <w:t>l’engorgement</w:t>
      </w:r>
      <w:r w:rsidR="008C69CD">
        <w:t>/inondation</w:t>
      </w:r>
      <w:r w:rsidR="00D23195">
        <w:t>»</w:t>
      </w:r>
      <w:bookmarkEnd w:id="3"/>
    </w:p>
    <w:p w:rsidR="008B21C8" w:rsidRDefault="008B21C8" w:rsidP="008B21C8">
      <w:pPr>
        <w:pStyle w:val="Titre2"/>
      </w:pPr>
      <w:r>
        <w:t>Les protocoles de mesure</w:t>
      </w:r>
    </w:p>
    <w:p w:rsidR="008B21C8" w:rsidRPr="0099755D" w:rsidRDefault="008B21C8" w:rsidP="008B21C8">
      <w:pPr>
        <w:pStyle w:val="Titre3"/>
      </w:pPr>
      <w:r>
        <w:t>Le questionnaire et les enquêtes</w:t>
      </w:r>
    </w:p>
    <w:p w:rsidR="008B21C8" w:rsidRDefault="008B21C8" w:rsidP="008B21C8">
      <w:pPr>
        <w:jc w:val="both"/>
      </w:pPr>
      <w:r>
        <w:t xml:space="preserve">Pour cerner le point de vue des paysans et des partenaires sur la question d’entretien du réseau de drainage, </w:t>
      </w:r>
      <w:r w:rsidRPr="001261DA">
        <w:t>9 thèmes a</w:t>
      </w:r>
      <w:r>
        <w:t>ssociés à 15 réponses anticipées jugées avoir une forte connexion avec l</w:t>
      </w:r>
      <w:r w:rsidR="006C73D8">
        <w:t>a problématique ont été élaboré</w:t>
      </w:r>
      <w:r>
        <w:t>s. Ces thèmes sont en fait des hypothèses sur ce qui pourrait constituer des entraves à l’entretien du réseau de drainage sur les périmètres irrigués. Ils devaient être confirmés ou infirmés par les enquêtes. Une première liste de thèmes fût d’abord construite par interaction entre les experts en irrigation au sein de trois institutions : 2iE, CIRAD et</w:t>
      </w:r>
      <w:r w:rsidR="006C73D8">
        <w:t xml:space="preserve"> IRSTEA. Ces thèmes ont </w:t>
      </w:r>
      <w:r>
        <w:t xml:space="preserve">été soumis à un pré-test impliquant 15 agriculteurs sur le périmètre irrigué rizicole de Tiéfora au </w:t>
      </w:r>
      <w:r w:rsidR="006C73D8">
        <w:t>Burkina Faso. Ils</w:t>
      </w:r>
      <w:r>
        <w:t xml:space="preserve"> furent </w:t>
      </w:r>
      <w:r w:rsidR="006C73D8">
        <w:t>ensuite présentés,</w:t>
      </w:r>
      <w:r>
        <w:t xml:space="preserve"> discutés</w:t>
      </w:r>
      <w:r w:rsidR="006C73D8">
        <w:t xml:space="preserve"> et reformulés</w:t>
      </w:r>
      <w:r>
        <w:t xml:space="preserve"> avec les cadres de l’OPIB et quelques agriculteurs à </w:t>
      </w:r>
      <w:r w:rsidR="006C73D8">
        <w:t>Baguinéda au Mali pour aboutir à la liste illustrée par</w:t>
      </w:r>
      <w:r>
        <w:t xml:space="preserve"> la </w:t>
      </w:r>
      <w:r w:rsidR="00B44D40">
        <w:fldChar w:fldCharType="begin"/>
      </w:r>
      <w:r w:rsidR="00B44D40">
        <w:instrText xml:space="preserve"> REF _Ref476047046 \h  \* MERGEFORMAT </w:instrText>
      </w:r>
      <w:r w:rsidR="00B44D40">
        <w:fldChar w:fldCharType="separate"/>
      </w:r>
      <w:r w:rsidRPr="00C40909">
        <w:rPr>
          <w:b/>
          <w:i/>
        </w:rPr>
        <w:t>Figure 3</w:t>
      </w:r>
      <w:r w:rsidR="00B44D40">
        <w:fldChar w:fldCharType="end"/>
      </w:r>
      <w:r>
        <w:t>.</w:t>
      </w:r>
    </w:p>
    <w:p w:rsidR="008B21C8" w:rsidRDefault="008B21C8" w:rsidP="0089006B"/>
    <w:p w:rsidR="008B21C8" w:rsidRDefault="00195D80" w:rsidP="0089006B">
      <w:r>
        <w:rPr>
          <w:noProof/>
          <w:lang w:eastAsia="fr-FR"/>
        </w:rPr>
        <w:drawing>
          <wp:anchor distT="0" distB="0" distL="114300" distR="114300" simplePos="0" relativeHeight="251661312" behindDoc="1" locked="0" layoutInCell="1" allowOverlap="1" wp14:anchorId="1C540D4C" wp14:editId="5F8EE7E9">
            <wp:simplePos x="0" y="0"/>
            <wp:positionH relativeFrom="column">
              <wp:posOffset>1188720</wp:posOffset>
            </wp:positionH>
            <wp:positionV relativeFrom="paragraph">
              <wp:posOffset>5080</wp:posOffset>
            </wp:positionV>
            <wp:extent cx="3080385" cy="2315845"/>
            <wp:effectExtent l="0" t="0" r="5715" b="0"/>
            <wp:wrapTight wrapText="bothSides">
              <wp:wrapPolygon edited="0">
                <wp:start x="4809" y="711"/>
                <wp:lineTo x="4675" y="1244"/>
                <wp:lineTo x="5343" y="3376"/>
                <wp:lineTo x="6946" y="6396"/>
                <wp:lineTo x="2939" y="6930"/>
                <wp:lineTo x="2672" y="8884"/>
                <wp:lineTo x="134" y="9772"/>
                <wp:lineTo x="134" y="11016"/>
                <wp:lineTo x="6813" y="12082"/>
                <wp:lineTo x="4675" y="17768"/>
                <wp:lineTo x="3607" y="19012"/>
                <wp:lineTo x="3340" y="21499"/>
                <wp:lineTo x="12824" y="21499"/>
                <wp:lineTo x="13091" y="19189"/>
                <wp:lineTo x="12423" y="18834"/>
                <wp:lineTo x="6011" y="17768"/>
                <wp:lineTo x="7347" y="17768"/>
                <wp:lineTo x="11622" y="15636"/>
                <wp:lineTo x="11622" y="14925"/>
                <wp:lineTo x="14026" y="14925"/>
                <wp:lineTo x="21640" y="12793"/>
                <wp:lineTo x="21640" y="7107"/>
                <wp:lineTo x="11488" y="3021"/>
                <wp:lineTo x="10152" y="1954"/>
                <wp:lineTo x="7080" y="711"/>
                <wp:lineTo x="4809" y="711"/>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080385" cy="2315845"/>
                    </a:xfrm>
                    <a:prstGeom prst="rect">
                      <a:avLst/>
                    </a:prstGeom>
                    <a:noFill/>
                    <a:ln w="9525">
                      <a:noFill/>
                      <a:miter lim="800000"/>
                      <a:headEnd/>
                      <a:tailEnd/>
                    </a:ln>
                  </pic:spPr>
                </pic:pic>
              </a:graphicData>
            </a:graphic>
          </wp:anchor>
        </w:drawing>
      </w:r>
    </w:p>
    <w:p w:rsidR="0089006B" w:rsidRDefault="0089006B" w:rsidP="0089006B"/>
    <w:p w:rsidR="0089006B" w:rsidRDefault="0089006B" w:rsidP="0089006B"/>
    <w:p w:rsidR="0089006B" w:rsidRDefault="0089006B" w:rsidP="0089006B"/>
    <w:p w:rsidR="0089006B" w:rsidRDefault="0089006B" w:rsidP="0089006B"/>
    <w:p w:rsidR="0089006B" w:rsidRDefault="0089006B" w:rsidP="0089006B"/>
    <w:p w:rsidR="0089006B" w:rsidRDefault="0089006B" w:rsidP="0089006B"/>
    <w:p w:rsidR="0089006B" w:rsidRDefault="0089006B" w:rsidP="0089006B"/>
    <w:tbl>
      <w:tblPr>
        <w:tblStyle w:val="Grilledutableau"/>
        <w:tblW w:w="0" w:type="auto"/>
        <w:tblLook w:val="04A0" w:firstRow="1" w:lastRow="0" w:firstColumn="1" w:lastColumn="0" w:noHBand="0" w:noVBand="1"/>
      </w:tblPr>
      <w:tblGrid>
        <w:gridCol w:w="9286"/>
      </w:tblGrid>
      <w:tr w:rsidR="008A33DF" w:rsidRPr="008A33DF" w:rsidTr="008C3E12">
        <w:tc>
          <w:tcPr>
            <w:tcW w:w="9286" w:type="dxa"/>
          </w:tcPr>
          <w:p w:rsidR="008C3E12" w:rsidRPr="008A33DF" w:rsidRDefault="008C3E12" w:rsidP="0089006B">
            <w:pPr>
              <w:rPr>
                <w:rFonts w:cs="Arial"/>
                <w:color w:val="262626" w:themeColor="text1" w:themeTint="D9"/>
                <w:sz w:val="14"/>
                <w:szCs w:val="14"/>
              </w:rPr>
            </w:pPr>
            <w:r w:rsidRPr="008A33DF">
              <w:rPr>
                <w:rFonts w:cs="Arial"/>
                <w:color w:val="262626" w:themeColor="text1" w:themeTint="D9"/>
                <w:sz w:val="14"/>
                <w:szCs w:val="14"/>
              </w:rPr>
              <w:t>Le diagramme est utilisé pour aider à l’identification des thèmes d’enquête influant sur la question du mauvais entretien des drains. D’abord établi à « dire d’expert » il a ensuite été  avec discuté et amendé à partir d’un pré-test du questionnaire construit sur la base de ces thèmes. Ce pré-test a été effectué à Tiéfora au Burkina Faso.</w:t>
            </w:r>
          </w:p>
        </w:tc>
      </w:tr>
    </w:tbl>
    <w:p w:rsidR="0089006B" w:rsidRPr="0089006B" w:rsidRDefault="0089006B" w:rsidP="008C606B">
      <w:pPr>
        <w:pStyle w:val="Lgende"/>
        <w:spacing w:before="120" w:after="120"/>
      </w:pPr>
      <w:bookmarkStart w:id="4" w:name="_Ref476047046"/>
      <w:r w:rsidRPr="001261DA">
        <w:rPr>
          <w:b/>
        </w:rPr>
        <w:t xml:space="preserve">Figure </w:t>
      </w:r>
      <w:r w:rsidR="00B668CC" w:rsidRPr="001261DA">
        <w:rPr>
          <w:b/>
        </w:rPr>
        <w:fldChar w:fldCharType="begin"/>
      </w:r>
      <w:r w:rsidRPr="001261DA">
        <w:rPr>
          <w:b/>
        </w:rPr>
        <w:instrText xml:space="preserve"> SEQ Figure \* ARABIC </w:instrText>
      </w:r>
      <w:r w:rsidR="00B668CC" w:rsidRPr="001261DA">
        <w:rPr>
          <w:b/>
        </w:rPr>
        <w:fldChar w:fldCharType="separate"/>
      </w:r>
      <w:r w:rsidRPr="001261DA">
        <w:rPr>
          <w:b/>
          <w:noProof/>
        </w:rPr>
        <w:t>3</w:t>
      </w:r>
      <w:r w:rsidR="00B668CC" w:rsidRPr="001261DA">
        <w:rPr>
          <w:b/>
        </w:rPr>
        <w:fldChar w:fldCharType="end"/>
      </w:r>
      <w:bookmarkEnd w:id="4"/>
      <w:r w:rsidRPr="0089006B">
        <w:t> : Diagramme Arrêtes-de-poisson des thèmes d’enquête de Baguinéda</w:t>
      </w:r>
    </w:p>
    <w:p w:rsidR="001261DA" w:rsidRDefault="001261DA" w:rsidP="001261DA">
      <w:pPr>
        <w:jc w:val="both"/>
      </w:pPr>
      <w:r>
        <w:t xml:space="preserve">Fondées sur une anticipation de leur important potentiel à susciter des réponses claires de la part des exploitants, plusieurs questions de thèmes d’enquête ont été élaborées, chacune étant construite de manière à inciter une confirmation/infirmation des thèmes d’enquêtes. Les </w:t>
      </w:r>
      <w:r w:rsidR="007D51AA">
        <w:t xml:space="preserve">15 </w:t>
      </w:r>
      <w:r>
        <w:t xml:space="preserve">questions de thème d’enquête (QTE) – avec un code rattachant chacune à un thème d’enquête – sont </w:t>
      </w:r>
      <w:r w:rsidR="0086255B">
        <w:t>illustrées ci-dessous</w:t>
      </w:r>
      <w: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515"/>
      </w:tblGrid>
      <w:tr w:rsidR="0097767E" w:rsidRPr="0097767E" w:rsidTr="00AA5345">
        <w:tc>
          <w:tcPr>
            <w:tcW w:w="6771" w:type="dxa"/>
            <w:vAlign w:val="center"/>
          </w:tcPr>
          <w:p w:rsidR="007D51AA" w:rsidRPr="00EB3E41" w:rsidRDefault="007D51AA" w:rsidP="0086255B">
            <w:pPr>
              <w:pStyle w:val="Paragraphedeliste"/>
              <w:numPr>
                <w:ilvl w:val="0"/>
                <w:numId w:val="10"/>
              </w:numPr>
              <w:rPr>
                <w:i/>
                <w:color w:val="auto"/>
                <w:sz w:val="16"/>
              </w:rPr>
            </w:pPr>
            <w:r w:rsidRPr="00EB3E41">
              <w:rPr>
                <w:i/>
                <w:color w:val="auto"/>
                <w:sz w:val="16"/>
              </w:rPr>
              <w:t>Quel type de culture peut vous inciter à mieux entretenir les drains ? (QTE</w:t>
            </w:r>
            <w:r w:rsidR="0086415C">
              <w:rPr>
                <w:i/>
                <w:color w:val="auto"/>
                <w:sz w:val="16"/>
              </w:rPr>
              <w:t>1</w:t>
            </w:r>
            <w:bookmarkStart w:id="5" w:name="_GoBack"/>
            <w:bookmarkEnd w:id="5"/>
            <w:r w:rsidR="0086415C">
              <w:rPr>
                <w:i/>
                <w:color w:val="auto"/>
                <w:sz w:val="16"/>
              </w:rPr>
              <w:t>.</w:t>
            </w:r>
            <w:r w:rsidRPr="00EB3E41">
              <w:rPr>
                <w:i/>
                <w:color w:val="auto"/>
                <w:sz w:val="16"/>
              </w:rPr>
              <w:t>1)</w:t>
            </w:r>
          </w:p>
          <w:p w:rsidR="0086255B" w:rsidRPr="00EB3E41" w:rsidRDefault="0086255B" w:rsidP="0086255B">
            <w:pPr>
              <w:pStyle w:val="Paragraphedeliste"/>
              <w:numPr>
                <w:ilvl w:val="0"/>
                <w:numId w:val="10"/>
              </w:numPr>
              <w:rPr>
                <w:i/>
                <w:color w:val="auto"/>
                <w:sz w:val="16"/>
              </w:rPr>
            </w:pPr>
            <w:r w:rsidRPr="00EB3E41">
              <w:rPr>
                <w:i/>
                <w:color w:val="auto"/>
                <w:sz w:val="16"/>
              </w:rPr>
              <w:t>Pour quel type de culture l'engorgement ou l'inondation  du sol vous pose un problème ? ((QTE1.2)</w:t>
            </w:r>
          </w:p>
          <w:p w:rsidR="0086255B" w:rsidRPr="00EB3E41" w:rsidRDefault="0086255B" w:rsidP="0086255B">
            <w:pPr>
              <w:pStyle w:val="Paragraphedeliste"/>
              <w:numPr>
                <w:ilvl w:val="0"/>
                <w:numId w:val="10"/>
              </w:numPr>
              <w:rPr>
                <w:i/>
                <w:color w:val="auto"/>
                <w:sz w:val="16"/>
              </w:rPr>
            </w:pPr>
            <w:r w:rsidRPr="00EB3E41">
              <w:rPr>
                <w:i/>
                <w:color w:val="auto"/>
                <w:sz w:val="16"/>
              </w:rPr>
              <w:t>Quel rendement du riz serait encourageant pour le nettoyage des drains ? (QTE2.1)</w:t>
            </w:r>
          </w:p>
          <w:p w:rsidR="0086255B" w:rsidRPr="00EB3E41" w:rsidRDefault="0086255B" w:rsidP="0086255B">
            <w:pPr>
              <w:pStyle w:val="Paragraphedeliste"/>
              <w:numPr>
                <w:ilvl w:val="0"/>
                <w:numId w:val="10"/>
              </w:numPr>
              <w:rPr>
                <w:i/>
                <w:color w:val="auto"/>
                <w:sz w:val="16"/>
              </w:rPr>
            </w:pPr>
            <w:r w:rsidRPr="00EB3E41">
              <w:rPr>
                <w:i/>
                <w:color w:val="auto"/>
                <w:sz w:val="16"/>
              </w:rPr>
              <w:t>Quel rendement du maïs serait encourageant pour le nettoyage des drains ? (QTE2.2)</w:t>
            </w:r>
          </w:p>
          <w:p w:rsidR="0086255B" w:rsidRPr="00EB3E41" w:rsidRDefault="0086255B" w:rsidP="0086255B">
            <w:pPr>
              <w:pStyle w:val="Paragraphedeliste"/>
              <w:numPr>
                <w:ilvl w:val="0"/>
                <w:numId w:val="10"/>
              </w:numPr>
              <w:rPr>
                <w:i/>
                <w:color w:val="auto"/>
                <w:sz w:val="16"/>
              </w:rPr>
            </w:pPr>
            <w:r w:rsidRPr="00EB3E41">
              <w:rPr>
                <w:i/>
                <w:color w:val="auto"/>
                <w:sz w:val="16"/>
              </w:rPr>
              <w:t>Quel rendement d’oignon serait encourageant pour le nettoyage des drains ? (QTE2.3)</w:t>
            </w:r>
          </w:p>
          <w:p w:rsidR="0086255B" w:rsidRPr="00EB3E41" w:rsidRDefault="0086255B" w:rsidP="0086255B">
            <w:pPr>
              <w:pStyle w:val="Paragraphedeliste"/>
              <w:numPr>
                <w:ilvl w:val="0"/>
                <w:numId w:val="10"/>
              </w:numPr>
              <w:rPr>
                <w:i/>
                <w:color w:val="auto"/>
                <w:sz w:val="16"/>
              </w:rPr>
            </w:pPr>
            <w:r w:rsidRPr="00EB3E41">
              <w:rPr>
                <w:i/>
                <w:color w:val="auto"/>
                <w:sz w:val="16"/>
              </w:rPr>
              <w:t>Quel rendement de tomate serait encourageant pour le nettoyage des drains ?(QTE2.4)</w:t>
            </w:r>
          </w:p>
          <w:p w:rsidR="0086255B" w:rsidRPr="00EB3E41" w:rsidRDefault="0086255B" w:rsidP="001261DA">
            <w:pPr>
              <w:pStyle w:val="Paragraphedeliste"/>
              <w:numPr>
                <w:ilvl w:val="0"/>
                <w:numId w:val="10"/>
              </w:numPr>
              <w:rPr>
                <w:i/>
                <w:color w:val="auto"/>
                <w:sz w:val="16"/>
              </w:rPr>
            </w:pPr>
            <w:r w:rsidRPr="00EB3E41">
              <w:rPr>
                <w:i/>
                <w:color w:val="auto"/>
                <w:sz w:val="16"/>
              </w:rPr>
              <w:t>Quel rendement de choux serait encourageant pour le nettoyage des drains ? (QTE2.5)</w:t>
            </w:r>
          </w:p>
        </w:tc>
        <w:tc>
          <w:tcPr>
            <w:tcW w:w="2515" w:type="dxa"/>
            <w:vAlign w:val="center"/>
          </w:tcPr>
          <w:p w:rsidR="0086255B" w:rsidRPr="0097767E" w:rsidRDefault="0086255B" w:rsidP="001261DA">
            <w:pPr>
              <w:rPr>
                <w:color w:val="FF0000"/>
              </w:rPr>
            </w:pPr>
          </w:p>
        </w:tc>
      </w:tr>
      <w:tr w:rsidR="0097767E" w:rsidRPr="0097767E" w:rsidTr="00AA5345">
        <w:tc>
          <w:tcPr>
            <w:tcW w:w="9286" w:type="dxa"/>
            <w:gridSpan w:val="2"/>
            <w:vAlign w:val="center"/>
          </w:tcPr>
          <w:p w:rsidR="00AA5345" w:rsidRPr="00EB3E41" w:rsidRDefault="00AA5345" w:rsidP="00AA5345">
            <w:pPr>
              <w:pStyle w:val="Paragraphedeliste"/>
              <w:numPr>
                <w:ilvl w:val="0"/>
                <w:numId w:val="10"/>
              </w:numPr>
              <w:rPr>
                <w:i/>
                <w:color w:val="auto"/>
                <w:sz w:val="16"/>
              </w:rPr>
            </w:pPr>
            <w:r w:rsidRPr="00EB3E41">
              <w:rPr>
                <w:i/>
                <w:color w:val="auto"/>
                <w:sz w:val="16"/>
              </w:rPr>
              <w:t>Quel type de kit d'entretien vous semble approprié pour l'entretien de vos drains ? (QTE3)</w:t>
            </w:r>
          </w:p>
          <w:p w:rsidR="00AA5345" w:rsidRPr="00EB3E41" w:rsidRDefault="00AA5345" w:rsidP="00AA5345">
            <w:pPr>
              <w:pStyle w:val="Paragraphedeliste"/>
              <w:numPr>
                <w:ilvl w:val="0"/>
                <w:numId w:val="10"/>
              </w:numPr>
              <w:rPr>
                <w:i/>
                <w:color w:val="auto"/>
                <w:sz w:val="16"/>
              </w:rPr>
            </w:pPr>
            <w:r w:rsidRPr="00EB3E41">
              <w:rPr>
                <w:i/>
                <w:color w:val="auto"/>
                <w:sz w:val="16"/>
              </w:rPr>
              <w:t>Pensez-vous que le fait que vous ne receviez pas l'eau au bon moment et en quantité suffisante vous décourage à l'entretien des drains ? (QTE4)</w:t>
            </w:r>
          </w:p>
          <w:p w:rsidR="00AA5345" w:rsidRPr="00EB3E41" w:rsidRDefault="00AA5345" w:rsidP="00AA5345">
            <w:pPr>
              <w:pStyle w:val="Paragraphedeliste"/>
              <w:numPr>
                <w:ilvl w:val="0"/>
                <w:numId w:val="10"/>
              </w:numPr>
              <w:rPr>
                <w:i/>
                <w:color w:val="auto"/>
                <w:sz w:val="16"/>
              </w:rPr>
            </w:pPr>
            <w:r w:rsidRPr="00EB3E41">
              <w:rPr>
                <w:i/>
                <w:color w:val="auto"/>
                <w:sz w:val="16"/>
              </w:rPr>
              <w:t>Quelle taille d’exploitation à vous attribuer serait la plus motivante pour l'entretien de vos drains ? (QTE5.1)</w:t>
            </w:r>
          </w:p>
          <w:p w:rsidR="00AA5345" w:rsidRPr="00EB3E41" w:rsidRDefault="00AA5345" w:rsidP="00AA5345">
            <w:pPr>
              <w:pStyle w:val="Paragraphedeliste"/>
              <w:numPr>
                <w:ilvl w:val="0"/>
                <w:numId w:val="10"/>
              </w:numPr>
              <w:rPr>
                <w:i/>
                <w:color w:val="auto"/>
                <w:sz w:val="16"/>
              </w:rPr>
            </w:pPr>
            <w:r w:rsidRPr="00EB3E41">
              <w:rPr>
                <w:i/>
                <w:color w:val="auto"/>
                <w:sz w:val="16"/>
              </w:rPr>
              <w:t xml:space="preserve">  Pensez-vous que le problème de fer contribue à la réduction de votre rendement ? Si oui, comment est-ce qu’il impact votre rendement ? (QTE6)</w:t>
            </w:r>
          </w:p>
          <w:p w:rsidR="00AA5345" w:rsidRPr="00EB3E41" w:rsidRDefault="00AA5345" w:rsidP="00AA5345">
            <w:pPr>
              <w:pStyle w:val="Paragraphedeliste"/>
              <w:numPr>
                <w:ilvl w:val="0"/>
                <w:numId w:val="10"/>
              </w:numPr>
              <w:rPr>
                <w:i/>
                <w:color w:val="auto"/>
                <w:sz w:val="16"/>
              </w:rPr>
            </w:pPr>
            <w:r w:rsidRPr="00EB3E41">
              <w:rPr>
                <w:i/>
                <w:color w:val="auto"/>
                <w:sz w:val="16"/>
              </w:rPr>
              <w:t>Parmi les problèmes ci-dessous, lesquels vous démotivent pour l’entretien des drains ?(QTE7.1)</w:t>
            </w:r>
          </w:p>
          <w:p w:rsidR="00AA5345" w:rsidRPr="00EB3E41" w:rsidRDefault="00AA5345" w:rsidP="00AA5345">
            <w:pPr>
              <w:pStyle w:val="Paragraphedeliste"/>
              <w:numPr>
                <w:ilvl w:val="0"/>
                <w:numId w:val="10"/>
              </w:numPr>
              <w:rPr>
                <w:i/>
                <w:color w:val="auto"/>
                <w:sz w:val="16"/>
              </w:rPr>
            </w:pPr>
            <w:r w:rsidRPr="00EB3E41">
              <w:rPr>
                <w:i/>
                <w:color w:val="auto"/>
                <w:sz w:val="16"/>
              </w:rPr>
              <w:t>Parmi les solutions ci-dessous, lesquelles vous trouvez  appropriées au problème de l’entretien des drains ? (QTE7.2)</w:t>
            </w:r>
          </w:p>
          <w:p w:rsidR="00AA5345" w:rsidRPr="00EB3E41" w:rsidRDefault="00AA5345" w:rsidP="00AA5345">
            <w:pPr>
              <w:pStyle w:val="Paragraphedeliste"/>
              <w:numPr>
                <w:ilvl w:val="0"/>
                <w:numId w:val="10"/>
              </w:numPr>
              <w:rPr>
                <w:i/>
                <w:color w:val="auto"/>
                <w:sz w:val="16"/>
              </w:rPr>
            </w:pPr>
            <w:r w:rsidRPr="00EB3E41">
              <w:rPr>
                <w:i/>
                <w:color w:val="auto"/>
                <w:sz w:val="16"/>
              </w:rPr>
              <w:t>Quel thème de formation vous semble utile pour vous aider efficacement à entretenir les drains ? (QTE8)</w:t>
            </w:r>
          </w:p>
          <w:p w:rsidR="00AA5345" w:rsidRPr="00EB3E41" w:rsidRDefault="00AA5345" w:rsidP="001261DA">
            <w:pPr>
              <w:pStyle w:val="Paragraphedeliste"/>
              <w:numPr>
                <w:ilvl w:val="0"/>
                <w:numId w:val="10"/>
              </w:numPr>
              <w:rPr>
                <w:i/>
                <w:color w:val="auto"/>
                <w:sz w:val="16"/>
              </w:rPr>
            </w:pPr>
            <w:r w:rsidRPr="00EB3E41">
              <w:rPr>
                <w:i/>
                <w:color w:val="auto"/>
                <w:sz w:val="16"/>
              </w:rPr>
              <w:t>Quel est selon vous le facteur le plus important qui vous inciterait à l'entretient de vos drains ? (QTE9)</w:t>
            </w:r>
          </w:p>
        </w:tc>
      </w:tr>
    </w:tbl>
    <w:p w:rsidR="0099755D" w:rsidRPr="00901580" w:rsidRDefault="0099755D" w:rsidP="00AA5345">
      <w:pPr>
        <w:spacing w:before="120"/>
      </w:pPr>
      <w:r w:rsidRPr="00901580">
        <w:t xml:space="preserve">Ce sont </w:t>
      </w:r>
      <w:r>
        <w:t xml:space="preserve">ces </w:t>
      </w:r>
      <w:r w:rsidR="007D51AA">
        <w:t xml:space="preserve">15 </w:t>
      </w:r>
      <w:r>
        <w:t xml:space="preserve">questions qui ont </w:t>
      </w:r>
      <w:r w:rsidR="006854C1">
        <w:t xml:space="preserve">été </w:t>
      </w:r>
      <w:r>
        <w:t>posé</w:t>
      </w:r>
      <w:r w:rsidR="006854C1">
        <w:t>e</w:t>
      </w:r>
      <w:r>
        <w:t xml:space="preserve">s à chacun des 95 exploitants (47 à l’amont et 48 à l’aval) des </w:t>
      </w:r>
      <w:r w:rsidR="006854C1">
        <w:t xml:space="preserve">deux </w:t>
      </w:r>
      <w:r>
        <w:t xml:space="preserve">échantillons issus </w:t>
      </w:r>
      <w:r w:rsidR="001013E6">
        <w:t xml:space="preserve">des 3603 exploitants </w:t>
      </w:r>
      <w:r w:rsidR="009C157B">
        <w:t xml:space="preserve">couvrant </w:t>
      </w:r>
      <w:r>
        <w:t>3080 ha en maîtrise totale de l’eau de Baguinéda.</w:t>
      </w:r>
    </w:p>
    <w:p w:rsidR="00994548" w:rsidRPr="008C606B" w:rsidRDefault="00274828" w:rsidP="008C606B">
      <w:pPr>
        <w:pStyle w:val="Titre3"/>
      </w:pPr>
      <w:r w:rsidRPr="008C606B">
        <w:t>L’échantillonnage</w:t>
      </w:r>
    </w:p>
    <w:p w:rsidR="008116DB" w:rsidRDefault="008116DB" w:rsidP="008F7080">
      <w:pPr>
        <w:jc w:val="both"/>
      </w:pPr>
      <w:r>
        <w:t>L’</w:t>
      </w:r>
      <w:r w:rsidRPr="008116DB">
        <w:t xml:space="preserve">échantillonnage </w:t>
      </w:r>
      <w:r>
        <w:t xml:space="preserve">a distingué dans la population </w:t>
      </w:r>
      <w:proofErr w:type="gramStart"/>
      <w:r>
        <w:t>d’exploitants</w:t>
      </w:r>
      <w:proofErr w:type="gramEnd"/>
      <w:r>
        <w:t xml:space="preserve"> 4 st</w:t>
      </w:r>
      <w:r w:rsidR="005E4DE8">
        <w:t>r</w:t>
      </w:r>
      <w:r>
        <w:t>ates pour mener les enquêtes et mesures</w:t>
      </w:r>
      <w:r w:rsidRPr="008116DB">
        <w:t xml:space="preserve">. La base de sondage existante à l’OPIB fournit </w:t>
      </w:r>
      <w:r w:rsidR="00653695">
        <w:t>quatre</w:t>
      </w:r>
      <w:r>
        <w:t xml:space="preserve"> types d’information : i) </w:t>
      </w:r>
      <w:r w:rsidRPr="008116DB">
        <w:t xml:space="preserve">le statut des paysans (paysan ordinaire ou responsable), </w:t>
      </w:r>
      <w:r>
        <w:t xml:space="preserve">ii) </w:t>
      </w:r>
      <w:r w:rsidRPr="008116DB">
        <w:t xml:space="preserve">le canal secondaire d’irrigation desservant chaque parcelle et </w:t>
      </w:r>
      <w:r>
        <w:t xml:space="preserve">iii) </w:t>
      </w:r>
      <w:r w:rsidRPr="008116DB">
        <w:t>la localisation de chaque paysan (village).</w:t>
      </w:r>
      <w:r>
        <w:t xml:space="preserve"> </w:t>
      </w:r>
      <w:proofErr w:type="gramStart"/>
      <w:r>
        <w:t>et</w:t>
      </w:r>
      <w:proofErr w:type="gramEnd"/>
      <w:r>
        <w:t xml:space="preserve"> iv) les</w:t>
      </w:r>
      <w:r w:rsidRPr="008116DB">
        <w:t xml:space="preserve"> </w:t>
      </w:r>
      <w:r>
        <w:t>zones fréquemment inondées et celle</w:t>
      </w:r>
      <w:r w:rsidR="009C157B">
        <w:t>s</w:t>
      </w:r>
      <w:r>
        <w:t xml:space="preserve"> plus </w:t>
      </w:r>
      <w:r w:rsidR="00AA5345">
        <w:t xml:space="preserve">rarement </w:t>
      </w:r>
      <w:r>
        <w:t>inondées</w:t>
      </w:r>
      <w:r w:rsidRPr="008116DB">
        <w:t>.</w:t>
      </w:r>
      <w:r>
        <w:t xml:space="preserve"> </w:t>
      </w:r>
      <w:r w:rsidR="00CD1DED" w:rsidRPr="008116DB">
        <w:t>Ces informations ont été exploitées pour constituer les différentes strates</w:t>
      </w:r>
      <w:r w:rsidR="00CD1DED">
        <w:t xml:space="preserve">. </w:t>
      </w:r>
      <w:r>
        <w:t>Le facteur statut d</w:t>
      </w:r>
      <w:r w:rsidR="00CD1DED">
        <w:t>u</w:t>
      </w:r>
      <w:r>
        <w:t xml:space="preserve"> paysan a permis de diviser la population en deux strates : les paysans ordinaires (PO) et les paysans responsables (PR). Les données concernant l’inondation ont permis de constituer deux autres states : les zones a faible risque d’inondation (ZFRI) et les </w:t>
      </w:r>
      <w:r>
        <w:lastRenderedPageBreak/>
        <w:t>zones à risque élevé d’inondation (ZREI).</w:t>
      </w:r>
      <w:r w:rsidR="00653695">
        <w:t xml:space="preserve"> Par la suite, un sondage stratifié proportionnel</w:t>
      </w:r>
      <w:r w:rsidR="00052AE5">
        <w:t xml:space="preserve"> </w:t>
      </w:r>
      <w:r w:rsidR="00B668CC">
        <w:fldChar w:fldCharType="begin"/>
      </w:r>
      <w:r w:rsidR="00052AE5">
        <w:instrText xml:space="preserve"> ADDIN EN.CITE &lt;EndNote&gt;&lt;Cite&gt;&lt;Author&gt;Canada&lt;/Author&gt;&lt;Year&gt;2003&lt;/Year&gt;&lt;RecNum&gt;309&lt;/RecNum&gt;&lt;DisplayText&gt;&lt;style font="Times New Roman" size="10"&gt;(Statistique Canada 2003)&lt;/style&gt;&lt;/DisplayText&gt;&lt;record&gt;&lt;rec-number&gt;309&lt;/rec-number&gt;&lt;foreign-keys&gt;&lt;key app="EN" db-id="9fwepsrswaze5fe2velxxsppptdpaz9f9s9z"&gt;309&lt;/key&gt;&lt;/foreign-keys&gt;&lt;ref-type name="Electronic Book"&gt;44&lt;/ref-type&gt;&lt;contributors&gt;&lt;authors&gt;&lt;author&gt;Statistique Canada,&lt;/author&gt;&lt;/authors&gt;&lt;/contributors&gt;&lt;titles&gt;&lt;title&gt;Méthodes et pratiques d’enquêtes&lt;/title&gt;&lt;/titles&gt;&lt;dates&gt;&lt;year&gt;2003&lt;/year&gt;&lt;/dates&gt;&lt;urls&gt;&lt;/urls&gt;&lt;/record&gt;&lt;/Cite&gt;&lt;/EndNote&gt;</w:instrText>
      </w:r>
      <w:r w:rsidR="00B668CC">
        <w:fldChar w:fldCharType="separate"/>
      </w:r>
      <w:r w:rsidR="00052AE5" w:rsidRPr="00052AE5">
        <w:rPr>
          <w:rFonts w:cs="Times New Roman"/>
          <w:noProof/>
        </w:rPr>
        <w:t>(</w:t>
      </w:r>
      <w:hyperlink w:anchor="_ENREF_17" w:tooltip="Statistique Canada, 2003 #309" w:history="1">
        <w:r w:rsidR="00210100" w:rsidRPr="00052AE5">
          <w:rPr>
            <w:rFonts w:cs="Times New Roman"/>
            <w:noProof/>
          </w:rPr>
          <w:t>Statistique Canada 2003</w:t>
        </w:r>
      </w:hyperlink>
      <w:r w:rsidR="00052AE5" w:rsidRPr="00052AE5">
        <w:rPr>
          <w:rFonts w:cs="Times New Roman"/>
          <w:noProof/>
        </w:rPr>
        <w:t>)</w:t>
      </w:r>
      <w:r w:rsidR="00B668CC">
        <w:fldChar w:fldCharType="end"/>
      </w:r>
      <w:r w:rsidR="000174AC">
        <w:t xml:space="preserve"> </w:t>
      </w:r>
      <w:r w:rsidR="00653695">
        <w:t>a été appliqué aux 3603 exploitants de Baguinéda pour générer les données de cette étude.</w:t>
      </w:r>
      <w:r w:rsidR="005E4DE8">
        <w:t xml:space="preserve"> Deux échantillons ont été retenus : 47 exploitants pour Baguinéda Amont et 48 pour </w:t>
      </w:r>
      <w:r w:rsidR="007B5C5B">
        <w:t>Baguinéda</w:t>
      </w:r>
      <w:r w:rsidR="005E4DE8">
        <w:t xml:space="preserve"> Aval. Par ailleurs, 6 cadres de l’OPIB ont fait l’objet d’enquêtes, constituant un 3</w:t>
      </w:r>
      <w:r w:rsidR="005E4DE8" w:rsidRPr="00052AE5">
        <w:rPr>
          <w:vertAlign w:val="superscript"/>
        </w:rPr>
        <w:t>ième</w:t>
      </w:r>
      <w:r w:rsidR="005E4DE8">
        <w:t xml:space="preserve"> échantillon.</w:t>
      </w:r>
    </w:p>
    <w:p w:rsidR="00D71F9E" w:rsidRDefault="00D71F9E" w:rsidP="008C606B">
      <w:pPr>
        <w:pStyle w:val="Titre3"/>
      </w:pPr>
      <w:r>
        <w:t>L’analyse des données</w:t>
      </w:r>
    </w:p>
    <w:p w:rsidR="00D71F9E" w:rsidRDefault="00371DB3" w:rsidP="00371DB3">
      <w:pPr>
        <w:jc w:val="both"/>
      </w:pPr>
      <w:r>
        <w:t>Pour déterminer les points de convergence d’opinions sur les différentes questions soumises à l’évaluation, des</w:t>
      </w:r>
      <w:r w:rsidR="00A33D5B">
        <w:t xml:space="preserve"> modèles statistiques rigoureux ont été appliqué</w:t>
      </w:r>
      <w:r>
        <w:t>s. Ainsi, lorsque les échantillons de données –</w:t>
      </w:r>
      <w:r w:rsidR="001B521A">
        <w:t xml:space="preserve"> </w:t>
      </w:r>
      <w:r>
        <w:t>réponses à comparer issu</w:t>
      </w:r>
      <w:r w:rsidR="001B521A">
        <w:t>e</w:t>
      </w:r>
      <w:r>
        <w:t>s du WASO</w:t>
      </w:r>
      <w:r w:rsidR="001B521A">
        <w:t xml:space="preserve"> –</w:t>
      </w:r>
      <w:r w:rsidR="000D7DA7">
        <w:t xml:space="preserve"> ont présenté des distributions</w:t>
      </w:r>
      <w:r>
        <w:t xml:space="preserve"> </w:t>
      </w:r>
      <w:r w:rsidRPr="00371DB3">
        <w:rPr>
          <w:i/>
        </w:rPr>
        <w:t>norm</w:t>
      </w:r>
      <w:r w:rsidR="000D7DA7">
        <w:rPr>
          <w:i/>
        </w:rPr>
        <w:t xml:space="preserve">ales, </w:t>
      </w:r>
      <w:r w:rsidR="009C157B">
        <w:rPr>
          <w:i/>
        </w:rPr>
        <w:t xml:space="preserve">à </w:t>
      </w:r>
      <w:r w:rsidR="000D7DA7">
        <w:rPr>
          <w:i/>
        </w:rPr>
        <w:t>variance</w:t>
      </w:r>
      <w:r w:rsidR="009C157B">
        <w:rPr>
          <w:i/>
        </w:rPr>
        <w:t>s</w:t>
      </w:r>
      <w:r w:rsidR="000D7DA7">
        <w:rPr>
          <w:i/>
        </w:rPr>
        <w:t xml:space="preserve"> </w:t>
      </w:r>
      <w:r w:rsidR="009C157B">
        <w:rPr>
          <w:i/>
        </w:rPr>
        <w:t xml:space="preserve">égales  avec des </w:t>
      </w:r>
      <w:r>
        <w:rPr>
          <w:i/>
        </w:rPr>
        <w:t>observation</w:t>
      </w:r>
      <w:r w:rsidR="001B521A">
        <w:rPr>
          <w:i/>
        </w:rPr>
        <w:t>s</w:t>
      </w:r>
      <w:r>
        <w:rPr>
          <w:i/>
        </w:rPr>
        <w:t xml:space="preserve"> indépendantes</w:t>
      </w:r>
      <w:r w:rsidR="009C157B">
        <w:rPr>
          <w:i/>
        </w:rPr>
        <w:t xml:space="preserve"> </w:t>
      </w:r>
      <w:r w:rsidR="00B668CC" w:rsidRPr="00052AE5">
        <w:fldChar w:fldCharType="begin"/>
      </w:r>
      <w:r w:rsidR="00052AE5" w:rsidRPr="00052AE5">
        <w:instrText xml:space="preserve"> ADDIN EN.CITE &lt;EndNote&gt;&lt;Cite&gt;&lt;Author&gt;Mathews&lt;/Author&gt;&lt;Year&gt;2005&lt;/Year&gt;&lt;RecNum&gt;266&lt;/RecNum&gt;&lt;DisplayText&gt;&lt;style font="Times New Roman" size="10"&gt;(Mathews 2005)&lt;/style&gt;&lt;/DisplayText&gt;&lt;record&gt;&lt;rec-number&gt;266&lt;/rec-number&gt;&lt;foreign-keys&gt;&lt;key app="EN" db-id="9fwepsrswaze5fe2velxxsppptdpaz9f9s9z"&gt;266&lt;/key&gt;&lt;/foreign-keys&gt;&lt;ref-type name="Book"&gt;6&lt;/ref-type&gt;&lt;contributors&gt;&lt;authors&gt;&lt;author&gt;Paul G Mathews&lt;/author&gt;&lt;/authors&gt;&lt;/contributors&gt;&lt;titles&gt;&lt;title&gt;Design of experiments with Minitab&lt;/title&gt;&lt;/titles&gt;&lt;pages&gt;521&lt;/pages&gt;&lt;dates&gt;&lt;year&gt;2005&lt;/year&gt;&lt;/dates&gt;&lt;pub-location&gt;Wisconsin. USA&lt;/pub-location&gt;&lt;publisher&gt;ASQ Quality Press&lt;/publisher&gt;&lt;urls&gt;&lt;/urls&gt;&lt;/record&gt;&lt;/Cite&gt;&lt;/EndNote&gt;</w:instrText>
      </w:r>
      <w:r w:rsidR="00B668CC" w:rsidRPr="00052AE5">
        <w:fldChar w:fldCharType="separate"/>
      </w:r>
      <w:r w:rsidR="00052AE5" w:rsidRPr="00052AE5">
        <w:rPr>
          <w:rFonts w:cs="Times New Roman"/>
          <w:noProof/>
        </w:rPr>
        <w:t>(</w:t>
      </w:r>
      <w:hyperlink w:anchor="_ENREF_10" w:tooltip="Mathews, 2005 #266" w:history="1">
        <w:r w:rsidR="00210100" w:rsidRPr="00052AE5">
          <w:rPr>
            <w:rFonts w:cs="Times New Roman"/>
            <w:noProof/>
          </w:rPr>
          <w:t>Mathews 2005</w:t>
        </w:r>
      </w:hyperlink>
      <w:r w:rsidR="00052AE5" w:rsidRPr="00052AE5">
        <w:rPr>
          <w:rFonts w:cs="Times New Roman"/>
          <w:noProof/>
        </w:rPr>
        <w:t>)</w:t>
      </w:r>
      <w:r w:rsidR="00B668CC" w:rsidRPr="00052AE5">
        <w:fldChar w:fldCharType="end"/>
      </w:r>
      <w:r>
        <w:t>, l’</w:t>
      </w:r>
      <w:r w:rsidRPr="00371DB3">
        <w:rPr>
          <w:i/>
        </w:rPr>
        <w:t>ANOVA</w:t>
      </w:r>
      <w:r>
        <w:t xml:space="preserve"> suivi</w:t>
      </w:r>
      <w:r w:rsidR="00052AE5">
        <w:t>e</w:t>
      </w:r>
      <w:r>
        <w:t xml:space="preserve"> du </w:t>
      </w:r>
      <w:r w:rsidRPr="00371DB3">
        <w:rPr>
          <w:i/>
        </w:rPr>
        <w:t>Tukey</w:t>
      </w:r>
      <w:r w:rsidR="00A33D5B">
        <w:t>-</w:t>
      </w:r>
      <w:r w:rsidRPr="00A33D5B">
        <w:rPr>
          <w:i/>
        </w:rPr>
        <w:t>Test</w:t>
      </w:r>
      <w:r w:rsidR="00AA5345">
        <w:t xml:space="preserve"> a été</w:t>
      </w:r>
      <w:r>
        <w:t xml:space="preserve"> appliqué</w:t>
      </w:r>
      <w:r w:rsidR="00052AE5">
        <w:t>e</w:t>
      </w:r>
      <w:r>
        <w:t xml:space="preserve"> pour </w:t>
      </w:r>
      <w:r w:rsidR="00AA5345">
        <w:t xml:space="preserve">évaluer la signification </w:t>
      </w:r>
      <w:r w:rsidR="000D7DA7">
        <w:t>des</w:t>
      </w:r>
      <w:r>
        <w:t xml:space="preserve"> résultats. Par contre, lorsque une des conditions précédentes </w:t>
      </w:r>
      <w:r w:rsidR="000D7DA7">
        <w:t xml:space="preserve">de normalité </w:t>
      </w:r>
      <w:r>
        <w:t>n’étaient pas satisfaite</w:t>
      </w:r>
      <w:r w:rsidR="00EC0F3B">
        <w:t>s</w:t>
      </w:r>
      <w:r>
        <w:t xml:space="preserve"> mais que </w:t>
      </w:r>
      <w:r w:rsidR="00EC0F3B">
        <w:t>les échantillons ont été évalués </w:t>
      </w:r>
      <w:r w:rsidR="000D7DA7">
        <w:t>comme présentant des</w:t>
      </w:r>
      <w:r w:rsidR="00EC0F3B">
        <w:t xml:space="preserve"> </w:t>
      </w:r>
      <w:r w:rsidR="00EC0F3B" w:rsidRPr="00EC0F3B">
        <w:rPr>
          <w:i/>
        </w:rPr>
        <w:t>distribution</w:t>
      </w:r>
      <w:r w:rsidR="000D7DA7">
        <w:rPr>
          <w:i/>
        </w:rPr>
        <w:t>s</w:t>
      </w:r>
      <w:r w:rsidR="00EC0F3B" w:rsidRPr="00EC0F3B">
        <w:rPr>
          <w:i/>
        </w:rPr>
        <w:t xml:space="preserve"> similaire</w:t>
      </w:r>
      <w:r w:rsidR="000D7DA7">
        <w:rPr>
          <w:i/>
        </w:rPr>
        <w:t>s</w:t>
      </w:r>
      <w:r w:rsidR="00EC0F3B">
        <w:t xml:space="preserve"> (pas normale), </w:t>
      </w:r>
      <w:r w:rsidR="00EC0F3B" w:rsidRPr="00EC0F3B">
        <w:rPr>
          <w:i/>
        </w:rPr>
        <w:t>de variance</w:t>
      </w:r>
      <w:r w:rsidR="00EC0F3B">
        <w:rPr>
          <w:i/>
        </w:rPr>
        <w:t>s</w:t>
      </w:r>
      <w:r w:rsidR="00EC0F3B" w:rsidRPr="00EC0F3B">
        <w:rPr>
          <w:i/>
        </w:rPr>
        <w:t xml:space="preserve"> similaires</w:t>
      </w:r>
      <w:r w:rsidR="00EC0F3B">
        <w:t xml:space="preserve">, </w:t>
      </w:r>
      <w:r w:rsidR="00EC0F3B" w:rsidRPr="00EC0F3B">
        <w:rPr>
          <w:i/>
        </w:rPr>
        <w:t>et indépendantes</w:t>
      </w:r>
      <w:r>
        <w:t xml:space="preserve">, la méthode non-paramétrique de </w:t>
      </w:r>
      <w:r w:rsidRPr="00EC0F3B">
        <w:rPr>
          <w:i/>
        </w:rPr>
        <w:t>Kruskal-Wallis</w:t>
      </w:r>
      <w:r>
        <w:t xml:space="preserve"> suivit du </w:t>
      </w:r>
      <w:r w:rsidR="00EC0F3B" w:rsidRPr="00EC0F3B">
        <w:rPr>
          <w:i/>
        </w:rPr>
        <w:t>Mann-Whitney</w:t>
      </w:r>
      <w:r w:rsidR="00EC0F3B">
        <w:t xml:space="preserve"> ont été appliquées </w:t>
      </w:r>
      <w:r w:rsidR="00B668CC">
        <w:fldChar w:fldCharType="begin"/>
      </w:r>
      <w:r w:rsidR="00052AE5">
        <w:instrText xml:space="preserve"> ADDIN EN.CITE &lt;EndNote&gt;&lt;Cite&gt;&lt;Author&gt;Boslaugh&lt;/Author&gt;&lt;Year&gt;2008&lt;/Year&gt;&lt;RecNum&gt;180&lt;/RecNum&gt;&lt;DisplayText&gt;&lt;style font="Times New Roman" size="10"&gt;(Boslaugh and Watters 2008)&lt;/style&gt;&lt;/DisplayText&gt;&lt;record&gt;&lt;rec-number&gt;180&lt;/rec-number&gt;&lt;foreign-keys&gt;&lt;key app="EN" db-id="9fwepsrswaze5fe2velxxsppptdpaz9f9s9z"&gt;180&lt;/key&gt;&lt;/foreign-keys&gt;&lt;ref-type name="Book"&gt;6&lt;/ref-type&gt;&lt;contributors&gt;&lt;authors&gt;&lt;author&gt;Sarah Boslaugh&lt;/author&gt;&lt;author&gt;Paul Andrew Watters&lt;/author&gt;&lt;/authors&gt;&lt;/contributors&gt;&lt;titles&gt;&lt;title&gt;Statistics in a Nutshell&lt;/title&gt;&lt;/titles&gt;&lt;pages&gt;478&lt;/pages&gt;&lt;dates&gt;&lt;year&gt;2008&lt;/year&gt;&lt;/dates&gt;&lt;pub-location&gt;USA&lt;/pub-location&gt;&lt;publisher&gt;OReilly&lt;/publisher&gt;&lt;urls&gt;&lt;/urls&gt;&lt;/record&gt;&lt;/Cite&gt;&lt;/EndNote&gt;</w:instrText>
      </w:r>
      <w:r w:rsidR="00B668CC">
        <w:fldChar w:fldCharType="separate"/>
      </w:r>
      <w:r w:rsidR="00052AE5" w:rsidRPr="00052AE5">
        <w:rPr>
          <w:rFonts w:cs="Times New Roman"/>
          <w:noProof/>
        </w:rPr>
        <w:t>(</w:t>
      </w:r>
      <w:hyperlink w:anchor="_ENREF_3" w:tooltip="Boslaugh, 2008 #180" w:history="1">
        <w:r w:rsidR="00210100" w:rsidRPr="00052AE5">
          <w:rPr>
            <w:rFonts w:cs="Times New Roman"/>
            <w:noProof/>
          </w:rPr>
          <w:t>Boslaugh and Watters 2008</w:t>
        </w:r>
      </w:hyperlink>
      <w:r w:rsidR="00052AE5" w:rsidRPr="00052AE5">
        <w:rPr>
          <w:rFonts w:cs="Times New Roman"/>
          <w:noProof/>
        </w:rPr>
        <w:t>)</w:t>
      </w:r>
      <w:r w:rsidR="00B668CC">
        <w:fldChar w:fldCharType="end"/>
      </w:r>
      <w:r w:rsidR="00EC0F3B">
        <w:t>.</w:t>
      </w:r>
    </w:p>
    <w:p w:rsidR="00EC0F3B" w:rsidRPr="00371DB3" w:rsidRDefault="00EC0F3B" w:rsidP="00371DB3">
      <w:pPr>
        <w:jc w:val="both"/>
      </w:pPr>
      <w:r>
        <w:t>Plusieurs logiciels de calcul ont été utilisés selon la nature des données collectées.</w:t>
      </w:r>
      <w:r w:rsidR="009E19D6">
        <w:t xml:space="preserve"> Ainsi, toutes les données ayant </w:t>
      </w:r>
      <w:r w:rsidR="00CA2F22">
        <w:t>un</w:t>
      </w:r>
      <w:r w:rsidR="00052AE5">
        <w:t xml:space="preserve"> attribut</w:t>
      </w:r>
      <w:r w:rsidR="00CA2F22">
        <w:t xml:space="preserve"> spatial</w:t>
      </w:r>
      <w:r w:rsidR="009E19D6">
        <w:t xml:space="preserve"> </w:t>
      </w:r>
      <w:r w:rsidR="00052AE5">
        <w:t xml:space="preserve">– </w:t>
      </w:r>
      <w:r w:rsidR="009E19D6">
        <w:t xml:space="preserve">les mesures d’infiltration, les surfaces parcellaires, les noms des exploitants enquêtés, </w:t>
      </w:r>
      <w:r w:rsidR="00CA2F22">
        <w:t>les dimensions et localisations des drains – ont été géoréférencées et traité</w:t>
      </w:r>
      <w:r w:rsidR="00052AE5">
        <w:t>e</w:t>
      </w:r>
      <w:r w:rsidR="00CA2F22">
        <w:t>s sous Excel 2010, AutoCAD 14 et ArcVIEW 3.3a. Les données issues des mesures d’</w:t>
      </w:r>
      <w:r w:rsidR="00902E0C">
        <w:t>infiltration</w:t>
      </w:r>
      <w:r w:rsidR="00CA2F22">
        <w:t xml:space="preserve"> ont été ajustées à une courbe exponentielle de</w:t>
      </w:r>
      <w:r w:rsidR="00902E0C">
        <w:t xml:space="preserve"> </w:t>
      </w:r>
      <w:r w:rsidR="00CA2F22">
        <w:t xml:space="preserve">désintégration </w:t>
      </w:r>
      <w:r w:rsidR="00B668CC">
        <w:fldChar w:fldCharType="begin"/>
      </w:r>
      <w:r w:rsidR="00052AE5">
        <w:instrText xml:space="preserve"> ADDIN EN.CITE &lt;EndNote&gt;&lt;Cite&gt;&lt;Author&gt;Keïta&lt;/Author&gt;&lt;Year&gt;2014&lt;/Year&gt;&lt;RecNum&gt;236&lt;/RecNum&gt;&lt;DisplayText&gt;&lt;style font="Times New Roman" size="10"&gt;(Keïta et al. 2014)&lt;/style&gt;&lt;/DisplayText&gt;&lt;record&gt;&lt;rec-number&gt;236&lt;/rec-number&gt;&lt;foreign-keys&gt;&lt;key app="EN" db-id="9fwepsrswaze5fe2velxxsppptdpaz9f9s9z"&gt;236&lt;/key&gt;&lt;/foreign-keys&gt;&lt;ref-type name="Journal Article"&gt;17&lt;/ref-type&gt;&lt;contributors&gt;&lt;authors&gt;&lt;author&gt;Amadou Keïta&lt;/author&gt;&lt;author&gt;Hamma Yacouba&lt;/author&gt;&lt;author&gt;Laszlo G. Hayde&lt;/author&gt;&lt;author&gt;Bart Schultz&lt;/author&gt;&lt;/authors&gt;&lt;/contributors&gt;&lt;titles&gt;&lt;title&gt;Comparative non-linear regression - a case of infiltration rate increase from upstream in valley&lt;/title&gt;&lt;secondary-title&gt;International Agrophysics&lt;/secondary-title&gt;&lt;/titles&gt;&lt;pages&gt;303-310&lt;/pages&gt;&lt;volume&gt;28&lt;/volume&gt;&lt;dates&gt;&lt;year&gt;2014&lt;/year&gt;&lt;/dates&gt;&lt;urls&gt;&lt;/urls&gt;&lt;electronic-resource-num&gt;10.2478/intag-2014-0020&lt;/electronic-resource-num&gt;&lt;/record&gt;&lt;/Cite&gt;&lt;/EndNote&gt;</w:instrText>
      </w:r>
      <w:r w:rsidR="00B668CC">
        <w:fldChar w:fldCharType="separate"/>
      </w:r>
      <w:r w:rsidR="00052AE5" w:rsidRPr="00052AE5">
        <w:rPr>
          <w:rFonts w:cs="Times New Roman"/>
          <w:noProof/>
        </w:rPr>
        <w:t>(</w:t>
      </w:r>
      <w:hyperlink w:anchor="_ENREF_8" w:tooltip="Keïta, 2014 #236" w:history="1">
        <w:r w:rsidR="00210100" w:rsidRPr="00052AE5">
          <w:rPr>
            <w:rFonts w:cs="Times New Roman"/>
            <w:noProof/>
          </w:rPr>
          <w:t>Keïta et al. 2014</w:t>
        </w:r>
      </w:hyperlink>
      <w:r w:rsidR="00052AE5" w:rsidRPr="00052AE5">
        <w:rPr>
          <w:rFonts w:cs="Times New Roman"/>
          <w:noProof/>
        </w:rPr>
        <w:t>)</w:t>
      </w:r>
      <w:r w:rsidR="00B668CC">
        <w:fldChar w:fldCharType="end"/>
      </w:r>
      <w:r w:rsidR="00052AE5">
        <w:t xml:space="preserve"> </w:t>
      </w:r>
      <w:r w:rsidR="00CA2F22">
        <w:t xml:space="preserve">en utilisant le logiciel de statistique </w:t>
      </w:r>
      <w:proofErr w:type="spellStart"/>
      <w:r w:rsidR="00CA2F22">
        <w:t>GraphPad</w:t>
      </w:r>
      <w:proofErr w:type="spellEnd"/>
      <w:r w:rsidR="00CA2F22">
        <w:t xml:space="preserve"> </w:t>
      </w:r>
      <w:proofErr w:type="spellStart"/>
      <w:r w:rsidR="00CA2F22">
        <w:t>Prism</w:t>
      </w:r>
      <w:proofErr w:type="spellEnd"/>
      <w:r w:rsidR="00CA2F22">
        <w:t xml:space="preserve"> 7. L’essentiel des calculs statistiques a été effectué sous le logiciel Minitab 17</w:t>
      </w:r>
      <w:r w:rsidR="00052AE5">
        <w:t xml:space="preserve"> </w:t>
      </w:r>
      <w:r w:rsidR="00B668CC">
        <w:fldChar w:fldCharType="begin"/>
      </w:r>
      <w:r w:rsidR="00052AE5">
        <w:instrText xml:space="preserve"> ADDIN EN.CITE &lt;EndNote&gt;&lt;Cite&gt;&lt;Author&gt;Mathews&lt;/Author&gt;&lt;Year&gt;2005&lt;/Year&gt;&lt;RecNum&gt;266&lt;/RecNum&gt;&lt;DisplayText&gt;&lt;style font="Times New Roman" size="10"&gt;(Mathews 2005)&lt;/style&gt;&lt;/DisplayText&gt;&lt;record&gt;&lt;rec-number&gt;266&lt;/rec-number&gt;&lt;foreign-keys&gt;&lt;key app="EN" db-id="9fwepsrswaze5fe2velxxsppptdpaz9f9s9z"&gt;266&lt;/key&gt;&lt;/foreign-keys&gt;&lt;ref-type name="Book"&gt;6&lt;/ref-type&gt;&lt;contributors&gt;&lt;authors&gt;&lt;author&gt;Paul G Mathews&lt;/author&gt;&lt;/authors&gt;&lt;/contributors&gt;&lt;titles&gt;&lt;title&gt;Design of experiments with Minitab&lt;/title&gt;&lt;/titles&gt;&lt;pages&gt;521&lt;/pages&gt;&lt;dates&gt;&lt;year&gt;2005&lt;/year&gt;&lt;/dates&gt;&lt;pub-location&gt;Wisconsin. USA&lt;/pub-location&gt;&lt;publisher&gt;ASQ Quality Press&lt;/publisher&gt;&lt;urls&gt;&lt;/urls&gt;&lt;/record&gt;&lt;/Cite&gt;&lt;/EndNote&gt;</w:instrText>
      </w:r>
      <w:r w:rsidR="00B668CC">
        <w:fldChar w:fldCharType="separate"/>
      </w:r>
      <w:r w:rsidR="00052AE5" w:rsidRPr="00052AE5">
        <w:rPr>
          <w:rFonts w:cs="Times New Roman"/>
          <w:noProof/>
        </w:rPr>
        <w:t>(</w:t>
      </w:r>
      <w:hyperlink w:anchor="_ENREF_10" w:tooltip="Mathews, 2005 #266" w:history="1">
        <w:r w:rsidR="00210100" w:rsidRPr="00052AE5">
          <w:rPr>
            <w:rFonts w:cs="Times New Roman"/>
            <w:noProof/>
          </w:rPr>
          <w:t>Mathews 2005</w:t>
        </w:r>
      </w:hyperlink>
      <w:r w:rsidR="00052AE5" w:rsidRPr="00052AE5">
        <w:rPr>
          <w:rFonts w:cs="Times New Roman"/>
          <w:noProof/>
        </w:rPr>
        <w:t>)</w:t>
      </w:r>
      <w:r w:rsidR="00B668CC">
        <w:fldChar w:fldCharType="end"/>
      </w:r>
      <w:r w:rsidR="00CA2F22">
        <w:t>.</w:t>
      </w:r>
      <w:r w:rsidR="00902E0C">
        <w:t xml:space="preserve"> Les principaux résultats sont présentés ci-dessous.</w:t>
      </w:r>
    </w:p>
    <w:p w:rsidR="00A40609" w:rsidRDefault="008F56BF" w:rsidP="00B86AE7">
      <w:pPr>
        <w:pStyle w:val="Titre1"/>
      </w:pPr>
      <w:r>
        <w:t>Résultats et discussions de l’étude de cas de Baguinéda</w:t>
      </w:r>
    </w:p>
    <w:p w:rsidR="00E74C45" w:rsidRDefault="00FD73D0" w:rsidP="00C42F8D">
      <w:pPr>
        <w:pStyle w:val="Titre2"/>
      </w:pPr>
      <w:r>
        <w:t>De nouvelles fonctions</w:t>
      </w:r>
      <w:r w:rsidR="00061B06">
        <w:t xml:space="preserve"> </w:t>
      </w:r>
      <w:r>
        <w:t>attribuées aux drains par les exploitants</w:t>
      </w:r>
    </w:p>
    <w:p w:rsidR="000D7DA7" w:rsidRDefault="003676F3" w:rsidP="000D7DA7">
      <w:pPr>
        <w:jc w:val="both"/>
      </w:pPr>
      <w:r>
        <w:t xml:space="preserve">Lors des enquêtes, 100% des </w:t>
      </w:r>
      <w:r w:rsidR="000D7DA7">
        <w:t>exploitants ont</w:t>
      </w:r>
      <w:r>
        <w:t xml:space="preserve"> reconnu </w:t>
      </w:r>
      <w:r w:rsidR="000D7DA7">
        <w:t xml:space="preserve">que </w:t>
      </w:r>
      <w:r>
        <w:t>l</w:t>
      </w:r>
      <w:r w:rsidR="00794D92">
        <w:t>a</w:t>
      </w:r>
      <w:r>
        <w:t xml:space="preserve"> </w:t>
      </w:r>
      <w:r w:rsidR="00794D92">
        <w:t>fonction</w:t>
      </w:r>
      <w:r>
        <w:t xml:space="preserve"> premi</w:t>
      </w:r>
      <w:r w:rsidR="00794D92">
        <w:t>è</w:t>
      </w:r>
      <w:r>
        <w:t>r</w:t>
      </w:r>
      <w:r w:rsidR="00794D92">
        <w:t>e</w:t>
      </w:r>
      <w:r>
        <w:t xml:space="preserve"> des drains est d’évacuer le surplus d’eau hors du périmètre et d’intercepter les eaux sauv</w:t>
      </w:r>
      <w:r w:rsidR="00794D92">
        <w:t xml:space="preserve">ages. Cependant, d’autres fonctions, </w:t>
      </w:r>
      <w:r>
        <w:t>qui ont été confirmé</w:t>
      </w:r>
      <w:r w:rsidR="00794D92">
        <w:t>e</w:t>
      </w:r>
      <w:r>
        <w:t>s suite à une visite su</w:t>
      </w:r>
      <w:r w:rsidR="000D7DA7">
        <w:t>r le périmètre, ont été mises en évidence par l’enquête</w:t>
      </w:r>
      <w:r>
        <w:t xml:space="preserve">. </w:t>
      </w:r>
      <w:r w:rsidR="000D7DA7">
        <w:t xml:space="preserve">Ces différentes fonctions sont : i) 25% des enquêtés estiment légitime une utilisation des drains pour irriguer dans les parcelles </w:t>
      </w:r>
      <w:r w:rsidR="000D7DA7" w:rsidRPr="003676F3">
        <w:rPr>
          <w:i/>
        </w:rPr>
        <w:t>éloignées</w:t>
      </w:r>
      <w:r w:rsidR="000D7DA7">
        <w:t xml:space="preserve"> des prises secondaires où les </w:t>
      </w:r>
      <w:r w:rsidR="000D7DA7" w:rsidRPr="003676F3">
        <w:rPr>
          <w:i/>
        </w:rPr>
        <w:t>débits sont insuffisants</w:t>
      </w:r>
      <w:r w:rsidR="000D7DA7">
        <w:t xml:space="preserve">, et les zones avec </w:t>
      </w:r>
      <w:r w:rsidR="000D7DA7" w:rsidRPr="003676F3">
        <w:rPr>
          <w:i/>
        </w:rPr>
        <w:t xml:space="preserve">problème de calage des canaux </w:t>
      </w:r>
      <w:r w:rsidR="000D7DA7" w:rsidRPr="00C21C6B">
        <w:rPr>
          <w:i/>
        </w:rPr>
        <w:t xml:space="preserve">d’irrigation  </w:t>
      </w:r>
      <w:r w:rsidR="000D7DA7" w:rsidRPr="003676F3">
        <w:rPr>
          <w:i/>
        </w:rPr>
        <w:t>tertiaires</w:t>
      </w:r>
      <w:r w:rsidR="000D7DA7">
        <w:rPr>
          <w:i/>
        </w:rPr>
        <w:t xml:space="preserve"> </w:t>
      </w:r>
      <w:r w:rsidR="000D7DA7">
        <w:t>(</w:t>
      </w:r>
      <w:r w:rsidR="00B668CC">
        <w:fldChar w:fldCharType="begin"/>
      </w:r>
      <w:r w:rsidR="000D7DA7">
        <w:instrText xml:space="preserve"> REF _Ref476219103 \h </w:instrText>
      </w:r>
      <w:r w:rsidR="00B668CC">
        <w:fldChar w:fldCharType="separate"/>
      </w:r>
      <w:r w:rsidR="000D7DA7" w:rsidRPr="00F00277">
        <w:rPr>
          <w:b/>
          <w:i/>
        </w:rPr>
        <w:t xml:space="preserve">Figure </w:t>
      </w:r>
      <w:r w:rsidR="000D7DA7">
        <w:rPr>
          <w:b/>
          <w:i/>
          <w:noProof/>
        </w:rPr>
        <w:t>4</w:t>
      </w:r>
      <w:r w:rsidR="00B668CC">
        <w:fldChar w:fldCharType="end"/>
      </w:r>
      <w:r w:rsidR="000D7DA7">
        <w:t xml:space="preserve">); ii) 21% des enquêtés pensent qu’il est approprié de barrer pour </w:t>
      </w:r>
      <w:r w:rsidR="000D7DA7" w:rsidRPr="00EA0C85">
        <w:rPr>
          <w:i/>
        </w:rPr>
        <w:t>réduire les percolations</w:t>
      </w:r>
      <w:r w:rsidR="000D7DA7">
        <w:t xml:space="preserve"> dans la parcelle sur terrain filtrant. ; </w:t>
      </w:r>
      <w:proofErr w:type="gramStart"/>
      <w:r w:rsidR="000D7DA7">
        <w:t>iii</w:t>
      </w:r>
      <w:proofErr w:type="gramEnd"/>
      <w:r w:rsidR="000D7DA7">
        <w:t xml:space="preserve">) ou favoriser la </w:t>
      </w:r>
      <w:r w:rsidR="000D7DA7" w:rsidRPr="003676F3">
        <w:rPr>
          <w:i/>
        </w:rPr>
        <w:t>pisciculture</w:t>
      </w:r>
      <w:r w:rsidR="000D7DA7">
        <w:t>, idée défendue par 19% des enquêtés.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0"/>
        <w:gridCol w:w="3145"/>
      </w:tblGrid>
      <w:tr w:rsidR="001B49E6" w:rsidTr="000D7DA7">
        <w:trPr>
          <w:trHeight w:val="1424"/>
          <w:jc w:val="center"/>
        </w:trPr>
        <w:tc>
          <w:tcPr>
            <w:tcW w:w="3071" w:type="dxa"/>
          </w:tcPr>
          <w:p w:rsidR="001B49E6" w:rsidRDefault="00C426DD" w:rsidP="000F4F13">
            <w:pPr>
              <w:spacing w:line="276" w:lineRule="auto"/>
            </w:pPr>
            <w:r>
              <w:rPr>
                <w:noProof/>
                <w:lang w:eastAsia="fr-FR"/>
              </w:rPr>
              <mc:AlternateContent>
                <mc:Choice Requires="wpg">
                  <w:drawing>
                    <wp:anchor distT="0" distB="0" distL="114300" distR="114300" simplePos="0" relativeHeight="251660288" behindDoc="0" locked="0" layoutInCell="1" allowOverlap="1">
                      <wp:simplePos x="0" y="0"/>
                      <wp:positionH relativeFrom="column">
                        <wp:posOffset>570865</wp:posOffset>
                      </wp:positionH>
                      <wp:positionV relativeFrom="paragraph">
                        <wp:posOffset>-1905</wp:posOffset>
                      </wp:positionV>
                      <wp:extent cx="4190365" cy="1073150"/>
                      <wp:effectExtent l="0" t="0" r="114935" b="12700"/>
                      <wp:wrapNone/>
                      <wp:docPr id="513" name="Groupe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0365" cy="1073150"/>
                                <a:chOff x="0" y="0"/>
                                <a:chExt cx="4190669" cy="1072930"/>
                              </a:xfrm>
                            </wpg:grpSpPr>
                            <wps:wsp>
                              <wps:cNvPr id="256" name="Ellipse 256"/>
                              <wps:cNvSpPr/>
                              <wps:spPr>
                                <a:xfrm>
                                  <a:off x="0" y="429371"/>
                                  <a:ext cx="1001561" cy="2856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Légende encadrée 1 287"/>
                              <wps:cNvSpPr/>
                              <wps:spPr>
                                <a:xfrm>
                                  <a:off x="516835" y="787180"/>
                                  <a:ext cx="770255" cy="285750"/>
                                </a:xfrm>
                                <a:prstGeom prst="borderCallout1">
                                  <a:avLst>
                                    <a:gd name="adj1" fmla="val 1864"/>
                                    <a:gd name="adj2" fmla="val 99493"/>
                                    <a:gd name="adj3" fmla="val -62481"/>
                                    <a:gd name="adj4" fmla="val 58877"/>
                                  </a:avLst>
                                </a:prstGeom>
                                <a:solidFill>
                                  <a:schemeClr val="bg1">
                                    <a:lumMod val="85000"/>
                                  </a:schemeClr>
                                </a:solidFill>
                                <a:ln w="635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48123E" w:rsidRPr="00D36148" w:rsidRDefault="0048123E" w:rsidP="001B49E6">
                                    <w:pPr>
                                      <w:jc w:val="center"/>
                                      <w:rPr>
                                        <w:color w:val="000000" w:themeColor="text1"/>
                                      </w:rPr>
                                    </w:pPr>
                                    <w:r w:rsidRPr="00D36148">
                                      <w:rPr>
                                        <w:color w:val="000000" w:themeColor="text1"/>
                                      </w:rPr>
                                      <w:t>Barrage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2" name="Groupe 512"/>
                              <wpg:cNvGrpSpPr/>
                              <wpg:grpSpPr>
                                <a:xfrm>
                                  <a:off x="2560320" y="0"/>
                                  <a:ext cx="1630349" cy="620202"/>
                                  <a:chOff x="0" y="0"/>
                                  <a:chExt cx="1630349" cy="620202"/>
                                </a:xfrm>
                              </wpg:grpSpPr>
                              <wps:wsp>
                                <wps:cNvPr id="36" name="Zone de texte 36"/>
                                <wps:cNvSpPr txBox="1"/>
                                <wps:spPr>
                                  <a:xfrm>
                                    <a:off x="127221" y="0"/>
                                    <a:ext cx="1503128" cy="278296"/>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8123E" w:rsidRDefault="0048123E" w:rsidP="001B49E6">
                                      <w:r>
                                        <w:t>Puits dans les drains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onnecteur droit avec flèche 40"/>
                                <wps:cNvCnPr/>
                                <wps:spPr>
                                  <a:xfrm>
                                    <a:off x="1630018" y="278296"/>
                                    <a:ext cx="0" cy="34190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Connecteur droit avec flèche 50"/>
                                <wps:cNvCnPr/>
                                <wps:spPr>
                                  <a:xfrm flipH="1">
                                    <a:off x="0" y="278296"/>
                                    <a:ext cx="127000" cy="27829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e 513" o:spid="_x0000_s1026" style="position:absolute;left:0;text-align:left;margin-left:44.95pt;margin-top:-.15pt;width:329.95pt;height:84.5pt;z-index:251660288" coordsize="41906,1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">
                      <v:oval id="Ellipse 256" o:spid="_x0000_s1027" style="position:absolute;top:4293;width:1001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4LsQA&#10;AADcAAAADwAAAGRycy9kb3ducmV2LnhtbESPX2vCMBTF3wd+h3CFvc3UsJZRjcUKg7k9zYnPl+ba&#10;Fpub0kRb9+mXwWCPh/Pnx1kXk+3EjQbfOtawXCQgiCtnWq41HL9en15A+IBssHNMGu7kodjMHtaY&#10;GzfyJ90OoRZxhH2OGpoQ+lxKXzVk0S9cTxy9sxsshiiHWpoBxzhuO6mSJJMWW46EBnvaNVRdDlcb&#10;uR/ls1InVaaX7nv3jue0N26v9eN82q5ABJrCf/iv/WY0qDSD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OC7EAAAA3AAAAA8AAAAAAAAAAAAAAAAAmAIAAGRycy9k&#10;b3ducmV2LnhtbFBLBQYAAAAABAAEAPUAAACJAwAAAAA=&#10;" filled="f" strokecolor="red"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87" o:spid="_x0000_s1028" type="#_x0000_t47" style="position:absolute;left:5168;top:7871;width:770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Yb8EA&#10;AADcAAAADwAAAGRycy9kb3ducmV2LnhtbESPQYvCMBSE74L/ITzBm6YqqFSjLOKKV2tBvT2aZ1u2&#10;eSlNttZ/bwTB4zAz3zDrbWcq0VLjSssKJuMIBHFmdcm5gvT8O1qCcB5ZY2WZFDzJwXbT760x1vbB&#10;J2oTn4sAYRejgsL7OpbSZQUZdGNbEwfvbhuDPsgml7rBR4CbSk6jaC4NlhwWCqxpV1D2l/wbBff0&#10;EM34Iq+T/bXdX4h281ueKDUcdD8rEJ46/w1/2ketYLpcwPtMO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EWG/BAAAA3AAAAA8AAAAAAAAAAAAAAAAAmAIAAGRycy9kb3du&#10;cmV2LnhtbFBLBQYAAAAABAAEAPUAAACGAwAAAAA=&#10;" adj="12717,-13496,21490,403" fillcolor="#d8d8d8 [2732]" strokecolor="black [3213]" strokeweight=".5pt">
                        <v:stroke startarrow="block"/>
                        <v:textbox>
                          <w:txbxContent>
                            <w:p w:rsidR="0048123E" w:rsidRPr="00D36148" w:rsidRDefault="0048123E" w:rsidP="001B49E6">
                              <w:pPr>
                                <w:jc w:val="center"/>
                                <w:rPr>
                                  <w:color w:val="000000" w:themeColor="text1"/>
                                </w:rPr>
                              </w:pPr>
                              <w:r w:rsidRPr="00D36148">
                                <w:rPr>
                                  <w:color w:val="000000" w:themeColor="text1"/>
                                </w:rPr>
                                <w:t>Barrage</w:t>
                              </w:r>
                            </w:p>
                          </w:txbxContent>
                        </v:textbox>
                      </v:shape>
                      <v:group id="Groupe 512" o:spid="_x0000_s1029" style="position:absolute;left:25603;width:16303;height:6202" coordsize="16303,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type id="_x0000_t202" coordsize="21600,21600" o:spt="202" path="m,l,21600r21600,l21600,xe">
                          <v:stroke joinstyle="miter"/>
                          <v:path gradientshapeok="t" o:connecttype="rect"/>
                        </v:shapetype>
                        <v:shape id="Zone de texte 36" o:spid="_x0000_s1030" type="#_x0000_t202" style="position:absolute;left:1272;width:1503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9sMA&#10;AADbAAAADwAAAGRycy9kb3ducmV2LnhtbESPQWsCMRSE70L/Q3iFXkSzKiyyGqUUxNaLuLbg8bF5&#10;bhY3L0uS6vbfN4LgcZiZb5jluretuJIPjWMFk3EGgrhyuuFawfdxM5qDCBFZY+uYFPxRgPXqZbDE&#10;QrsbH+haxlokCIcCFZgYu0LKUBmyGMauI07e2XmLMUlfS+3xluC2ldMsy6XFhtOCwY4+DFWX8tcq&#10;4H7qY2524ei67eVru6fT/meo1Ntr/74AEamPz/Cj/akVzHK4f0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9sMAAADbAAAADwAAAAAAAAAAAAAAAACYAgAAZHJzL2Rv&#10;d25yZXYueG1sUEsFBgAAAAAEAAQA9QAAAIgDAAAAAA==&#10;" fillcolor="white [3201]" strokecolor="black [3213]" strokeweight=".5pt">
                          <v:textbox>
                            <w:txbxContent>
                              <w:p w:rsidR="0048123E" w:rsidRDefault="0048123E" w:rsidP="001B49E6">
                                <w:r>
                                  <w:t>Puits dans les drains</w:t>
                                </w:r>
                              </w:p>
                            </w:txbxContent>
                          </v:textbox>
                        </v:shape>
                        <v:shape id="Connecteur droit avec flèche 40" o:spid="_x0000_s1031" type="#_x0000_t32" style="position:absolute;left:16300;top:2782;width:0;height:3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qxcMAAADbAAAADwAAAGRycy9kb3ducmV2LnhtbERPy2rCQBTdF/oPwy2400lFao2OEopi&#10;RaT4AHF3ydwmsZk7ITMm8e+dhdDl4bxni86UoqHaFZYVvA8iEMSp1QVnCk7HVf8ThPPIGkvLpOBO&#10;Dhbz15cZxtq2vKfm4DMRQtjFqCD3voqldGlOBt3AVsSB+7W1QR9gnUldYxvCTSmHUfQhDRYcGnKs&#10;6Cun9O9wMwp2R79tV9V9fD1fN8ufNSaTS5Mo1XvrkikIT53/Fz/d31rBKKwPX8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1KsXDAAAA2wAAAA8AAAAAAAAAAAAA&#10;AAAAoQIAAGRycy9kb3ducmV2LnhtbFBLBQYAAAAABAAEAPkAAACRAwAAAAA=&#10;" strokecolor="black [3213]" strokeweight="2.25pt">
                          <v:stroke endarrow="open"/>
                        </v:shape>
                        <v:shape id="Connecteur droit avec flèche 50" o:spid="_x0000_s1032" type="#_x0000_t32" style="position:absolute;top:2782;width:1270;height:27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NV8EAAADbAAAADwAAAGRycy9kb3ducmV2LnhtbERPz2vCMBS+D/wfwhO8iKYqFa1GUUGZ&#10;l8HazfOjeWvLmpeSRO3+++Uw2PHj+73d96YVD3K+saxgNk1AEJdWN1wp+CjOkxUIH5A1tpZJwQ95&#10;2O8GL1vMtH3yOz3yUIkYwj5DBXUIXSalL2sy6Ke2I47cl3UGQ4SuktrhM4abVs6TZCkNNhwbauzo&#10;VFP5nd+Ngut6VVyQm+Pt9Pm2XoyL1NElVWo07A8bEIH68C/+c79qBW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w1XwQAAANsAAAAPAAAAAAAAAAAAAAAA&#10;AKECAABkcnMvZG93bnJldi54bWxQSwUGAAAAAAQABAD5AAAAjwMAAAAA&#10;" strokecolor="black [3213]" strokeweight="2.25pt">
                          <v:stroke endarrow="open"/>
                        </v:shape>
                      </v:group>
                    </v:group>
                  </w:pict>
                </mc:Fallback>
              </mc:AlternateContent>
            </w:r>
            <w:r w:rsidR="001B49E6" w:rsidRPr="00155012">
              <w:rPr>
                <w:noProof/>
                <w:lang w:eastAsia="fr-FR"/>
              </w:rPr>
              <w:drawing>
                <wp:inline distT="0" distB="0" distL="0" distR="0" wp14:anchorId="3E13BB0F" wp14:editId="15FBF483">
                  <wp:extent cx="1912781" cy="107533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126" cy="1077777"/>
                          </a:xfrm>
                          <a:prstGeom prst="rect">
                            <a:avLst/>
                          </a:prstGeom>
                          <a:noFill/>
                          <a:ln>
                            <a:noFill/>
                          </a:ln>
                          <a:effectLst/>
                          <a:extLst/>
                        </pic:spPr>
                      </pic:pic>
                    </a:graphicData>
                  </a:graphic>
                </wp:inline>
              </w:drawing>
            </w:r>
          </w:p>
        </w:tc>
        <w:tc>
          <w:tcPr>
            <w:tcW w:w="3070" w:type="dxa"/>
          </w:tcPr>
          <w:p w:rsidR="001B49E6" w:rsidRDefault="001B49E6" w:rsidP="000F4F13">
            <w:pPr>
              <w:keepNext/>
              <w:spacing w:line="276" w:lineRule="auto"/>
            </w:pPr>
            <w:r w:rsidRPr="00155012">
              <w:rPr>
                <w:noProof/>
                <w:lang w:eastAsia="fr-FR"/>
              </w:rPr>
              <w:drawing>
                <wp:inline distT="0" distB="0" distL="0" distR="0" wp14:anchorId="7DDFF2B1" wp14:editId="136E7DD8">
                  <wp:extent cx="1912145" cy="1075334"/>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212" cy="1086057"/>
                          </a:xfrm>
                          <a:prstGeom prst="rect">
                            <a:avLst/>
                          </a:prstGeom>
                          <a:noFill/>
                          <a:ln>
                            <a:noFill/>
                          </a:ln>
                          <a:effectLst/>
                          <a:extLst/>
                        </pic:spPr>
                      </pic:pic>
                    </a:graphicData>
                  </a:graphic>
                </wp:inline>
              </w:drawing>
            </w:r>
          </w:p>
        </w:tc>
        <w:tc>
          <w:tcPr>
            <w:tcW w:w="3145" w:type="dxa"/>
          </w:tcPr>
          <w:p w:rsidR="001B49E6" w:rsidRDefault="001B49E6" w:rsidP="000F4F13">
            <w:pPr>
              <w:spacing w:line="276" w:lineRule="auto"/>
            </w:pPr>
            <w:r>
              <w:rPr>
                <w:noProof/>
                <w:lang w:eastAsia="fr-FR"/>
              </w:rPr>
              <w:drawing>
                <wp:inline distT="0" distB="0" distL="0" distR="0" wp14:anchorId="10DE7F98" wp14:editId="42D19F91">
                  <wp:extent cx="1957988" cy="1101394"/>
                  <wp:effectExtent l="0" t="0" r="4445" b="3810"/>
                  <wp:docPr id="2077" name="Imag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964573" cy="1105098"/>
                          </a:xfrm>
                          <a:prstGeom prst="rect">
                            <a:avLst/>
                          </a:prstGeom>
                        </pic:spPr>
                      </pic:pic>
                    </a:graphicData>
                  </a:graphic>
                </wp:inline>
              </w:drawing>
            </w:r>
          </w:p>
        </w:tc>
      </w:tr>
    </w:tbl>
    <w:p w:rsidR="001B49E6" w:rsidRDefault="001B49E6" w:rsidP="001B49E6">
      <w:pPr>
        <w:spacing w:line="240" w:lineRule="auto"/>
        <w:jc w:val="center"/>
        <w:rPr>
          <w:i/>
        </w:rPr>
      </w:pPr>
      <w:bookmarkStart w:id="6" w:name="_Ref476219103"/>
      <w:bookmarkStart w:id="7" w:name="_Toc473014624"/>
      <w:r w:rsidRPr="00F00277">
        <w:rPr>
          <w:b/>
          <w:i/>
        </w:rPr>
        <w:t xml:space="preserve">Figure </w:t>
      </w:r>
      <w:r w:rsidR="00B668CC" w:rsidRPr="00F00277">
        <w:rPr>
          <w:b/>
          <w:i/>
        </w:rPr>
        <w:fldChar w:fldCharType="begin"/>
      </w:r>
      <w:r w:rsidRPr="00F00277">
        <w:rPr>
          <w:b/>
          <w:i/>
        </w:rPr>
        <w:instrText xml:space="preserve"> SEQ Figure \* ARABIC </w:instrText>
      </w:r>
      <w:r w:rsidR="00B668CC" w:rsidRPr="00F00277">
        <w:rPr>
          <w:b/>
          <w:i/>
        </w:rPr>
        <w:fldChar w:fldCharType="separate"/>
      </w:r>
      <w:r w:rsidR="0045723F">
        <w:rPr>
          <w:b/>
          <w:i/>
          <w:noProof/>
        </w:rPr>
        <w:t>4</w:t>
      </w:r>
      <w:r w:rsidR="00B668CC" w:rsidRPr="00F00277">
        <w:rPr>
          <w:b/>
          <w:i/>
        </w:rPr>
        <w:fldChar w:fldCharType="end"/>
      </w:r>
      <w:bookmarkEnd w:id="6"/>
      <w:r>
        <w:rPr>
          <w:i/>
        </w:rPr>
        <w:t> </w:t>
      </w:r>
      <w:r w:rsidRPr="009422DC">
        <w:rPr>
          <w:i/>
        </w:rPr>
        <w:t xml:space="preserve">: </w:t>
      </w:r>
      <w:r>
        <w:rPr>
          <w:i/>
        </w:rPr>
        <w:t>Pratiques développées</w:t>
      </w:r>
      <w:r w:rsidRPr="009422DC">
        <w:rPr>
          <w:i/>
        </w:rPr>
        <w:t xml:space="preserve"> dans les drains par les paysans</w:t>
      </w:r>
      <w:r>
        <w:rPr>
          <w:i/>
        </w:rPr>
        <w:t xml:space="preserve"> pour trouver de l’eau</w:t>
      </w:r>
      <w:bookmarkEnd w:id="7"/>
    </w:p>
    <w:p w:rsidR="0021285B" w:rsidRDefault="00061B06" w:rsidP="00C42F8D">
      <w:pPr>
        <w:pStyle w:val="Titre2"/>
      </w:pPr>
      <w:r>
        <w:t>U</w:t>
      </w:r>
      <w:r w:rsidR="002A0502">
        <w:t xml:space="preserve">n </w:t>
      </w:r>
      <w:r w:rsidR="0049460B">
        <w:t>élargissement des drains</w:t>
      </w:r>
      <w:r w:rsidR="002A0502">
        <w:t xml:space="preserve"> </w:t>
      </w:r>
      <w:r w:rsidR="0084335C">
        <w:t xml:space="preserve">induit par l’érosion </w:t>
      </w:r>
      <w:r w:rsidR="002A0502">
        <w:t>compliquant leur entretien</w:t>
      </w:r>
      <w:r>
        <w:t xml:space="preserve"> </w:t>
      </w:r>
    </w:p>
    <w:p w:rsidR="00D624B2" w:rsidRDefault="00C21C6B" w:rsidP="00D624B2">
      <w:pPr>
        <w:spacing w:line="240" w:lineRule="auto"/>
        <w:jc w:val="both"/>
      </w:pPr>
      <w:r>
        <w:t xml:space="preserve">Les mesures effectuées sur les drains dont l’entretien relève des exploitants révèlent des </w:t>
      </w:r>
      <w:r w:rsidRPr="00CE6E9A">
        <w:rPr>
          <w:i/>
        </w:rPr>
        <w:t>changements de</w:t>
      </w:r>
      <w:r w:rsidR="00CE6E9A" w:rsidRPr="00CE6E9A">
        <w:rPr>
          <w:i/>
        </w:rPr>
        <w:t xml:space="preserve"> sections considérables,</w:t>
      </w:r>
      <w:r w:rsidR="002A0502">
        <w:t xml:space="preserve"> qui ne sont pas</w:t>
      </w:r>
      <w:r>
        <w:t xml:space="preserve"> uniquement </w:t>
      </w:r>
      <w:r w:rsidR="002A0502">
        <w:t>imputables à un défaut d</w:t>
      </w:r>
      <w:r>
        <w:t xml:space="preserve">’entretien. </w:t>
      </w:r>
      <w:r w:rsidR="007E2913">
        <w:t xml:space="preserve">Un </w:t>
      </w:r>
      <w:r w:rsidR="002D09AB">
        <w:t>échantillon de drain</w:t>
      </w:r>
      <w:r w:rsidR="007E2913">
        <w:t>s</w:t>
      </w:r>
      <w:r w:rsidR="002D09AB">
        <w:t xml:space="preserve"> – six tertiaires </w:t>
      </w:r>
      <w:r w:rsidR="007E2913">
        <w:t>et un secondaire</w:t>
      </w:r>
      <w:r w:rsidR="002D09AB">
        <w:t xml:space="preserve">, drainant les parcelles des exploitants </w:t>
      </w:r>
      <w:r w:rsidR="00D3105E">
        <w:t>enquêtés</w:t>
      </w:r>
      <w:r w:rsidR="002D09AB">
        <w:t xml:space="preserve"> – </w:t>
      </w:r>
      <w:r w:rsidR="007E2913">
        <w:t>a</w:t>
      </w:r>
      <w:r w:rsidR="002D09AB">
        <w:t xml:space="preserve"> fait l’objet d’investigations. </w:t>
      </w:r>
      <w:r>
        <w:t xml:space="preserve">En règle générale, les sections – déjà </w:t>
      </w:r>
      <w:r w:rsidR="00D3105E">
        <w:t>surdimensionnées</w:t>
      </w:r>
      <w:r>
        <w:t xml:space="preserve"> à l’origine </w:t>
      </w:r>
      <w:r w:rsidR="00B668CC">
        <w:fldChar w:fldCharType="begin"/>
      </w:r>
      <w:r w:rsidR="007E2913">
        <w:instrText xml:space="preserve"> ADDIN EN.CITE &lt;EndNote&gt;&lt;Cite&gt;&lt;Author&gt;SEE&lt;/Author&gt;&lt;Year&gt;2014&lt;/Year&gt;&lt;RecNum&gt;310&lt;/RecNum&gt;&lt;DisplayText&gt;&lt;style font="Times New Roman" size="10"&gt;(SEE 2014)&lt;/style&gt;&lt;/DisplayText&gt;&lt;record&gt;&lt;rec-number&gt;310&lt;/rec-number&gt;&lt;foreign-keys&gt;&lt;key app="EN" db-id="9fwepsrswaze5fe2velxxsppptdpaz9f9s9z"&gt;310&lt;/key&gt;&lt;/foreign-keys&gt;&lt;ref-type name="Report"&gt;27&lt;/ref-type&gt;&lt;contributors&gt;&lt;authors&gt;&lt;author&gt;SEE&lt;/author&gt;&lt;/authors&gt;&lt;/contributors&gt;&lt;titles&gt;&lt;title&gt;Projet d’intensification du Périmètre Irrigué de Baguinéda- Etude d’actualisation, de recalibrage, de revêtement des canaux primaires de Baguinéda et la remise en état des ouvrages connexes&lt;/title&gt;&lt;/titles&gt;&lt;dates&gt;&lt;year&gt;2014&lt;/year&gt;&lt;/dates&gt;&lt;urls&gt;&lt;/urls&gt;&lt;/record&gt;&lt;/Cite&gt;&lt;/EndNote&gt;</w:instrText>
      </w:r>
      <w:r w:rsidR="00B668CC">
        <w:fldChar w:fldCharType="separate"/>
      </w:r>
      <w:r w:rsidR="007E2913" w:rsidRPr="007E2913">
        <w:rPr>
          <w:rFonts w:cs="Times New Roman"/>
          <w:noProof/>
        </w:rPr>
        <w:t>(</w:t>
      </w:r>
      <w:hyperlink w:anchor="_ENREF_15" w:tooltip="SEE, 2014 #310" w:history="1">
        <w:r w:rsidR="00210100" w:rsidRPr="007E2913">
          <w:rPr>
            <w:rFonts w:cs="Times New Roman"/>
            <w:noProof/>
          </w:rPr>
          <w:t>SEE 2014</w:t>
        </w:r>
      </w:hyperlink>
      <w:r w:rsidR="007E2913" w:rsidRPr="007E2913">
        <w:rPr>
          <w:rFonts w:cs="Times New Roman"/>
          <w:noProof/>
        </w:rPr>
        <w:t>)</w:t>
      </w:r>
      <w:r w:rsidR="00B668CC">
        <w:fldChar w:fldCharType="end"/>
      </w:r>
      <w:r w:rsidR="002A0502">
        <w:rPr>
          <w:noProof/>
          <w:lang w:eastAsia="fr-FR"/>
        </w:rPr>
        <w:t xml:space="preserve"> – ont significativement augmenté</w:t>
      </w:r>
      <w:r w:rsidR="005D1024">
        <w:t xml:space="preserve">. Par exemple, </w:t>
      </w:r>
      <w:r w:rsidR="002A0502">
        <w:t xml:space="preserve">alors que </w:t>
      </w:r>
      <w:r w:rsidR="001F512A" w:rsidRPr="001F512A">
        <w:rPr>
          <w:noProof/>
          <w:lang w:eastAsia="fr-FR"/>
        </w:rPr>
        <w:t xml:space="preserve">les drains </w:t>
      </w:r>
      <w:r w:rsidR="005D1024">
        <w:rPr>
          <w:noProof/>
          <w:lang w:eastAsia="fr-FR"/>
        </w:rPr>
        <w:t xml:space="preserve">tertiaires </w:t>
      </w:r>
      <w:r w:rsidR="00D624B2">
        <w:rPr>
          <w:noProof/>
          <w:lang w:eastAsia="fr-FR"/>
        </w:rPr>
        <w:t>(</w:t>
      </w:r>
      <w:r w:rsidR="002A0502">
        <w:rPr>
          <w:noProof/>
          <w:lang w:eastAsia="fr-FR"/>
        </w:rPr>
        <w:t xml:space="preserve">3 drains </w:t>
      </w:r>
      <w:r w:rsidR="005D1024">
        <w:rPr>
          <w:noProof/>
          <w:lang w:eastAsia="fr-FR"/>
        </w:rPr>
        <w:t>investigués à Baguinéda Aval</w:t>
      </w:r>
      <w:r w:rsidR="00D624B2">
        <w:rPr>
          <w:noProof/>
          <w:lang w:eastAsia="fr-FR"/>
        </w:rPr>
        <w:t>)</w:t>
      </w:r>
      <w:r w:rsidR="005D1024">
        <w:rPr>
          <w:noProof/>
          <w:lang w:eastAsia="fr-FR"/>
        </w:rPr>
        <w:t xml:space="preserve"> </w:t>
      </w:r>
      <w:r w:rsidR="00D624B2">
        <w:rPr>
          <w:noProof/>
          <w:lang w:eastAsia="fr-FR"/>
        </w:rPr>
        <w:t xml:space="preserve">avaient initialement pour dimension une </w:t>
      </w:r>
      <w:r w:rsidR="005D1024">
        <w:rPr>
          <w:noProof/>
          <w:lang w:eastAsia="fr-FR"/>
        </w:rPr>
        <w:t xml:space="preserve">largeur au </w:t>
      </w:r>
      <w:r w:rsidR="005D1024" w:rsidRPr="00D3105E">
        <w:rPr>
          <w:noProof/>
          <w:lang w:eastAsia="fr-FR"/>
        </w:rPr>
        <w:t xml:space="preserve">miroir </w:t>
      </w:r>
      <w:r w:rsidR="00D624B2">
        <w:rPr>
          <w:noProof/>
          <w:lang w:eastAsia="fr-FR"/>
        </w:rPr>
        <w:t>B = 1,9m ,</w:t>
      </w:r>
      <w:r w:rsidR="001F512A" w:rsidRPr="00D3105E">
        <w:rPr>
          <w:noProof/>
          <w:lang w:eastAsia="fr-FR"/>
        </w:rPr>
        <w:t xml:space="preserve"> </w:t>
      </w:r>
      <w:r w:rsidR="005D1024" w:rsidRPr="00D3105E">
        <w:rPr>
          <w:noProof/>
          <w:lang w:eastAsia="fr-FR"/>
        </w:rPr>
        <w:t xml:space="preserve">largeur au plafond </w:t>
      </w:r>
      <w:r w:rsidR="001F512A" w:rsidRPr="00D3105E">
        <w:rPr>
          <w:noProof/>
          <w:lang w:eastAsia="fr-FR"/>
        </w:rPr>
        <w:t xml:space="preserve">b = 0,30 m et </w:t>
      </w:r>
      <w:r w:rsidR="005D1024" w:rsidRPr="00D3105E">
        <w:rPr>
          <w:noProof/>
          <w:lang w:eastAsia="fr-FR"/>
        </w:rPr>
        <w:t xml:space="preserve">tirant d’eau </w:t>
      </w:r>
      <w:r w:rsidR="00D624B2">
        <w:rPr>
          <w:noProof/>
          <w:lang w:eastAsia="fr-FR"/>
        </w:rPr>
        <w:t>h = 0,80 m,</w:t>
      </w:r>
      <w:r w:rsidR="001F512A" w:rsidRPr="00D3105E">
        <w:rPr>
          <w:noProof/>
          <w:lang w:eastAsia="fr-FR"/>
        </w:rPr>
        <w:t xml:space="preserve"> </w:t>
      </w:r>
      <w:r w:rsidR="00D624B2">
        <w:rPr>
          <w:noProof/>
          <w:lang w:eastAsia="fr-FR"/>
        </w:rPr>
        <w:t>l</w:t>
      </w:r>
      <w:r w:rsidR="001F512A" w:rsidRPr="00D3105E">
        <w:rPr>
          <w:noProof/>
          <w:lang w:eastAsia="fr-FR"/>
        </w:rPr>
        <w:t xml:space="preserve">es dimensions </w:t>
      </w:r>
      <w:r w:rsidR="00D624B2">
        <w:rPr>
          <w:noProof/>
          <w:lang w:eastAsia="fr-FR"/>
        </w:rPr>
        <w:t xml:space="preserve">moyennes mesurées sur </w:t>
      </w:r>
      <w:r w:rsidR="001F512A" w:rsidRPr="00D3105E">
        <w:rPr>
          <w:noProof/>
          <w:lang w:eastAsia="fr-FR"/>
        </w:rPr>
        <w:t>8 tronçons sont </w:t>
      </w:r>
      <w:r w:rsidR="00D624B2">
        <w:rPr>
          <w:i/>
          <w:noProof/>
          <w:lang w:eastAsia="fr-FR"/>
        </w:rPr>
        <w:t xml:space="preserve">actuellement </w:t>
      </w:r>
      <w:r w:rsidR="001F512A" w:rsidRPr="00D3105E">
        <w:rPr>
          <w:noProof/>
          <w:lang w:eastAsia="fr-FR"/>
        </w:rPr>
        <w:t xml:space="preserve"> B moyen = 5,15±0,31m, b moyen = 2,00±0,87m et h moyen = 0,82±0,11m. La cause</w:t>
      </w:r>
      <w:r w:rsidR="001F512A" w:rsidRPr="001F512A">
        <w:rPr>
          <w:noProof/>
          <w:lang w:eastAsia="fr-FR"/>
        </w:rPr>
        <w:t xml:space="preserve"> serait li</w:t>
      </w:r>
      <w:r w:rsidR="00D624B2">
        <w:rPr>
          <w:noProof/>
          <w:lang w:eastAsia="fr-FR"/>
        </w:rPr>
        <w:t xml:space="preserve">ée à </w:t>
      </w:r>
      <w:r w:rsidR="00D624B2" w:rsidRPr="001F512A">
        <w:rPr>
          <w:noProof/>
          <w:lang w:eastAsia="fr-FR"/>
        </w:rPr>
        <w:t>l’effet de l’érosion et des glissements de terre</w:t>
      </w:r>
      <w:r w:rsidR="00D624B2">
        <w:rPr>
          <w:noProof/>
          <w:lang w:eastAsia="fr-FR"/>
        </w:rPr>
        <w:t xml:space="preserve"> en cas de forte pluie, les drains et talus en terre n’étant pas protégés.</w:t>
      </w:r>
    </w:p>
    <w:p w:rsidR="00A45A0D" w:rsidRDefault="00061B06" w:rsidP="00C42F8D">
      <w:pPr>
        <w:pStyle w:val="Titre2"/>
      </w:pPr>
      <w:r>
        <w:lastRenderedPageBreak/>
        <w:t xml:space="preserve">Des zones mal drainées dont l’engorgement pourrait </w:t>
      </w:r>
      <w:r w:rsidR="000C2F36">
        <w:t>exp</w:t>
      </w:r>
      <w:r w:rsidR="00FB5949">
        <w:t>liquer des</w:t>
      </w:r>
      <w:r w:rsidR="00A45A0D">
        <w:t xml:space="preserve"> phénomènes de toxicité ferreuses limitant les rendements</w:t>
      </w:r>
      <w:r w:rsidR="00FB5949">
        <w:t xml:space="preserve"> </w:t>
      </w:r>
      <w:r w:rsidR="00A45A0D">
        <w:t>en riz</w:t>
      </w:r>
    </w:p>
    <w:p w:rsidR="000C2F36" w:rsidRDefault="00E95F4B" w:rsidP="000C2F36">
      <w:pPr>
        <w:autoSpaceDE w:val="0"/>
        <w:autoSpaceDN w:val="0"/>
        <w:adjustRightInd w:val="0"/>
        <w:spacing w:before="240"/>
        <w:jc w:val="both"/>
        <w:rPr>
          <w:szCs w:val="36"/>
        </w:rPr>
      </w:pPr>
      <w:r w:rsidRPr="00E95F4B">
        <w:rPr>
          <w:color w:val="000000"/>
        </w:rPr>
        <w:t>Les résultats de l’enquête tendent à attribuer à l</w:t>
      </w:r>
      <w:r w:rsidR="007E2913" w:rsidRPr="00E95F4B">
        <w:rPr>
          <w:color w:val="000000"/>
        </w:rPr>
        <w:t xml:space="preserve">a toxicité ferreuse </w:t>
      </w:r>
      <w:r w:rsidRPr="00E95F4B">
        <w:rPr>
          <w:color w:val="000000"/>
        </w:rPr>
        <w:t xml:space="preserve">une </w:t>
      </w:r>
      <w:r w:rsidR="00BB21CC" w:rsidRPr="00E95F4B">
        <w:rPr>
          <w:i/>
          <w:color w:val="000000"/>
        </w:rPr>
        <w:t>importante limitation des rendements</w:t>
      </w:r>
      <w:r w:rsidRPr="00E95F4B">
        <w:rPr>
          <w:i/>
          <w:color w:val="000000"/>
        </w:rPr>
        <w:t xml:space="preserve"> en riz </w:t>
      </w:r>
      <w:r w:rsidR="00BB21CC" w:rsidRPr="00E95F4B">
        <w:rPr>
          <w:color w:val="000000"/>
        </w:rPr>
        <w:t xml:space="preserve"> à Baguinéda</w:t>
      </w:r>
      <w:r w:rsidR="000C2F36">
        <w:rPr>
          <w:color w:val="000000"/>
        </w:rPr>
        <w:t xml:space="preserve">. Les symptômes caractéristiques </w:t>
      </w:r>
      <w:r>
        <w:rPr>
          <w:color w:val="000000"/>
        </w:rPr>
        <w:t>de la toxicité ferreuse tels que</w:t>
      </w:r>
      <w:r w:rsidR="00A13489">
        <w:rPr>
          <w:color w:val="000000"/>
        </w:rPr>
        <w:t xml:space="preserve"> </w:t>
      </w:r>
      <w:r w:rsidR="007C0B79">
        <w:rPr>
          <w:color w:val="000000"/>
        </w:rPr>
        <w:t xml:space="preserve">la résurgence de </w:t>
      </w:r>
      <w:r w:rsidR="007C0B79" w:rsidRPr="007C0B79">
        <w:rPr>
          <w:i/>
          <w:color w:val="000000"/>
        </w:rPr>
        <w:t>fer ferreux bleuâtre</w:t>
      </w:r>
      <w:r w:rsidR="007C0B79">
        <w:rPr>
          <w:color w:val="000000"/>
        </w:rPr>
        <w:t xml:space="preserve"> devenant </w:t>
      </w:r>
      <w:r w:rsidR="007C0B79" w:rsidRPr="007C0B79">
        <w:rPr>
          <w:i/>
          <w:color w:val="000000"/>
        </w:rPr>
        <w:t>ferrique brunâtre</w:t>
      </w:r>
      <w:r w:rsidR="007C0B79">
        <w:rPr>
          <w:color w:val="000000"/>
        </w:rPr>
        <w:t xml:space="preserve"> (</w:t>
      </w:r>
      <w:r w:rsidR="00B668CC">
        <w:rPr>
          <w:color w:val="000000"/>
        </w:rPr>
        <w:fldChar w:fldCharType="begin"/>
      </w:r>
      <w:r w:rsidR="007C0B79">
        <w:rPr>
          <w:color w:val="000000"/>
        </w:rPr>
        <w:instrText xml:space="preserve"> REF _Ref476214425 \h </w:instrText>
      </w:r>
      <w:r w:rsidR="00B668CC">
        <w:rPr>
          <w:color w:val="000000"/>
        </w:rPr>
      </w:r>
      <w:r w:rsidR="00B668CC">
        <w:rPr>
          <w:color w:val="000000"/>
        </w:rPr>
        <w:fldChar w:fldCharType="separate"/>
      </w:r>
      <w:r w:rsidR="0045723F" w:rsidRPr="00FC33C7">
        <w:rPr>
          <w:b/>
          <w:i/>
        </w:rPr>
        <w:t xml:space="preserve">Figure </w:t>
      </w:r>
      <w:r w:rsidR="0045723F">
        <w:rPr>
          <w:b/>
          <w:i/>
          <w:noProof/>
        </w:rPr>
        <w:t>5</w:t>
      </w:r>
      <w:r w:rsidR="00B668CC">
        <w:rPr>
          <w:color w:val="000000"/>
        </w:rPr>
        <w:fldChar w:fldCharType="end"/>
      </w:r>
      <w:r w:rsidR="007C0B79">
        <w:rPr>
          <w:color w:val="000000"/>
        </w:rPr>
        <w:t xml:space="preserve">) et </w:t>
      </w:r>
      <w:r w:rsidR="00A13489">
        <w:rPr>
          <w:color w:val="000000"/>
        </w:rPr>
        <w:t>l</w:t>
      </w:r>
      <w:r w:rsidR="00BB21CC">
        <w:rPr>
          <w:color w:val="000000"/>
        </w:rPr>
        <w:t>e</w:t>
      </w:r>
      <w:r w:rsidR="00A13489">
        <w:rPr>
          <w:color w:val="000000"/>
        </w:rPr>
        <w:t xml:space="preserve"> brunissement </w:t>
      </w:r>
      <w:r w:rsidR="000C2F36">
        <w:rPr>
          <w:color w:val="000000"/>
        </w:rPr>
        <w:t xml:space="preserve">des feuilles du riz </w:t>
      </w:r>
      <w:r w:rsidR="00B668CC">
        <w:fldChar w:fldCharType="begin"/>
      </w:r>
      <w:r w:rsidR="003A7D3E">
        <w:instrText xml:space="preserve"> ADDIN EN.CITE &lt;EndNote&gt;&lt;Cite&gt;&lt;Author&gt;Becker&lt;/Author&gt;&lt;Year&gt;2005&lt;/Year&gt;&lt;RecNum&gt;229&lt;/RecNum&gt;&lt;DisplayText&gt;&lt;style font="Times New Roman" size="10"&gt;(Becker and Asch 2005, Keïta 2015)&lt;/style&gt;&lt;/DisplayText&gt;&lt;record&gt;&lt;rec-number&gt;229&lt;/rec-number&gt;&lt;foreign-keys&gt;&lt;key app="EN" db-id="9fwepsrswaze5fe2velxxsppptdpaz9f9s9z"&gt;229&lt;/key&gt;&lt;/foreign-keys&gt;&lt;ref-type name="Journal Article"&gt;17&lt;/ref-type&gt;&lt;contributors&gt;&lt;authors&gt;&lt;author&gt;Mathias Becker&lt;/author&gt;&lt;author&gt;Folkard Asch&lt;/author&gt;&lt;/authors&gt;&lt;/contributors&gt;&lt;titles&gt;&lt;title&gt;Iron toxicity in rice -  conditions and management concepts&lt;/title&gt;&lt;secondary-title&gt;J. Plant Nurti. Soil Sci.&lt;/secondary-title&gt;&lt;/titles&gt;&lt;pages&gt;558-573&lt;/pages&gt;&lt;volume&gt;168&lt;/volume&gt;&lt;dates&gt;&lt;year&gt;2005&lt;/year&gt;&lt;/dates&gt;&lt;urls&gt;&lt;/urls&gt;&lt;/record&gt;&lt;/Cite&gt;&lt;Cite&gt;&lt;Author&gt;Keïta&lt;/Author&gt;&lt;Year&gt;2015&lt;/Year&gt;&lt;RecNum&gt;300&lt;/RecNum&gt;&lt;record&gt;&lt;rec-number&gt;300&lt;/rec-number&gt;&lt;foreign-keys&gt;&lt;key app="EN" db-id="9fwepsrswaze5fe2velxxsppptdpaz9f9s9z"&gt;300&lt;/key&gt;&lt;/foreign-keys&gt;&lt;ref-type name="Book"&gt;6&lt;/ref-type&gt;&lt;contributors&gt;&lt;authors&gt;&lt;author&gt;Keïta, Amadou&lt;/author&gt;&lt;/authors&gt;&lt;/contributors&gt;&lt;titles&gt;&lt;title&gt;Subsurface drainage of valley bottom irrigated rice schemes in Tropical Savannah. Case studies of Tiéfora and Moussodougou in Burkina Faso&lt;/title&gt;&lt;/titles&gt;&lt;pages&gt;224&lt;/pages&gt;&lt;dates&gt;&lt;year&gt;2015&lt;/year&gt;&lt;/dates&gt;&lt;pub-location&gt;Delt, The Netherlands&lt;/pub-location&gt;&lt;publisher&gt;CRC Press/Balkema&lt;/publisher&gt;&lt;isbn&gt;978-1-138-02816-6&lt;/isbn&gt;&lt;urls&gt;&lt;related-urls&gt;&lt;url&gt;www.crcpress.com – www.taylorandfrancis.com&lt;/url&gt;&lt;/related-urls&gt;&lt;/urls&gt;&lt;language&gt;English&lt;/language&gt;&lt;/record&gt;&lt;/Cite&gt;&lt;/EndNote&gt;</w:instrText>
      </w:r>
      <w:r w:rsidR="00B668CC">
        <w:fldChar w:fldCharType="separate"/>
      </w:r>
      <w:r w:rsidR="003A7D3E" w:rsidRPr="003A7D3E">
        <w:rPr>
          <w:rFonts w:cs="Times New Roman"/>
          <w:noProof/>
        </w:rPr>
        <w:t>(</w:t>
      </w:r>
      <w:hyperlink w:anchor="_ENREF_2" w:tooltip="Becker, 2005 #229" w:history="1">
        <w:r w:rsidR="00210100" w:rsidRPr="003A7D3E">
          <w:rPr>
            <w:rFonts w:cs="Times New Roman"/>
            <w:noProof/>
          </w:rPr>
          <w:t>Becker and Asch 2005</w:t>
        </w:r>
      </w:hyperlink>
      <w:r w:rsidR="003A7D3E" w:rsidRPr="003A7D3E">
        <w:rPr>
          <w:rFonts w:cs="Times New Roman"/>
          <w:noProof/>
        </w:rPr>
        <w:t xml:space="preserve">, </w:t>
      </w:r>
      <w:hyperlink w:anchor="_ENREF_4" w:tooltip="Keïta, 2015 #300" w:history="1">
        <w:r w:rsidR="00210100" w:rsidRPr="003A7D3E">
          <w:rPr>
            <w:rFonts w:cs="Times New Roman"/>
            <w:noProof/>
          </w:rPr>
          <w:t>Keïta 2015</w:t>
        </w:r>
      </w:hyperlink>
      <w:r w:rsidR="003A7D3E" w:rsidRPr="003A7D3E">
        <w:rPr>
          <w:rFonts w:cs="Times New Roman"/>
          <w:noProof/>
        </w:rPr>
        <w:t>)</w:t>
      </w:r>
      <w:r w:rsidR="00B668CC">
        <w:fldChar w:fldCharType="end"/>
      </w:r>
      <w:r>
        <w:t xml:space="preserve"> sont visibles sur quelques parcelles</w:t>
      </w:r>
      <w:r w:rsidR="000C2F36">
        <w:rPr>
          <w:color w:val="000000"/>
        </w:rPr>
        <w:t>.</w:t>
      </w:r>
      <w:r w:rsidR="00A13489">
        <w:rPr>
          <w:color w:val="000000"/>
        </w:rPr>
        <w:t xml:space="preserve"> </w:t>
      </w:r>
      <w:r>
        <w:rPr>
          <w:color w:val="000000"/>
        </w:rPr>
        <w:t>A Baguinéda av</w:t>
      </w:r>
      <w:r w:rsidR="00C40909">
        <w:rPr>
          <w:color w:val="000000"/>
        </w:rPr>
        <w:t>a</w:t>
      </w:r>
      <w:r>
        <w:rPr>
          <w:color w:val="000000"/>
        </w:rPr>
        <w:t>l</w:t>
      </w:r>
      <w:r w:rsidR="00A13489">
        <w:rPr>
          <w:color w:val="000000"/>
        </w:rPr>
        <w:t>,</w:t>
      </w:r>
      <w:r w:rsidR="000C2F36">
        <w:rPr>
          <w:color w:val="000000"/>
        </w:rPr>
        <w:t xml:space="preserve"> 17 paysans sur les 48 enquêtés</w:t>
      </w:r>
      <w:r w:rsidR="007E2913">
        <w:rPr>
          <w:color w:val="000000"/>
        </w:rPr>
        <w:t>,</w:t>
      </w:r>
      <w:r w:rsidR="00D3105E">
        <w:rPr>
          <w:color w:val="000000"/>
        </w:rPr>
        <w:t xml:space="preserve"> soient 3</w:t>
      </w:r>
      <w:r w:rsidR="002C17B4">
        <w:rPr>
          <w:color w:val="000000"/>
        </w:rPr>
        <w:t>5</w:t>
      </w:r>
      <w:r w:rsidR="00D3105E">
        <w:rPr>
          <w:color w:val="000000"/>
        </w:rPr>
        <w:t>%</w:t>
      </w:r>
      <w:r w:rsidR="007E2913">
        <w:rPr>
          <w:color w:val="000000"/>
        </w:rPr>
        <w:t>,</w:t>
      </w:r>
      <w:r>
        <w:rPr>
          <w:color w:val="000000"/>
        </w:rPr>
        <w:t xml:space="preserve"> ont remarqué c</w:t>
      </w:r>
      <w:r w:rsidR="000C2F36">
        <w:rPr>
          <w:color w:val="000000"/>
        </w:rPr>
        <w:t>es symptômes de la toxicité ferreuse sur leur parcelle.</w:t>
      </w:r>
      <w:r w:rsidR="000C2F36">
        <w:rPr>
          <w:color w:val="231F20"/>
        </w:rPr>
        <w:t xml:space="preserve"> </w:t>
      </w:r>
      <w:r w:rsidR="00D3105E">
        <w:rPr>
          <w:color w:val="231F20"/>
        </w:rPr>
        <w:t>En moyenne, ils estiment une réduction consécutive de rendement de 55</w:t>
      </w:r>
      <w:r w:rsidR="00D3105E" w:rsidRPr="00D3105E">
        <w:rPr>
          <w:color w:val="231F20"/>
        </w:rPr>
        <w:t xml:space="preserve"> ±10,10% </w:t>
      </w:r>
      <w:r w:rsidR="00BB21CC">
        <w:rPr>
          <w:color w:val="231F20"/>
        </w:rPr>
        <w:t xml:space="preserve"> (</w:t>
      </w:r>
      <w:r w:rsidR="00B44D40">
        <w:fldChar w:fldCharType="begin"/>
      </w:r>
      <w:r w:rsidR="00B44D40">
        <w:instrText xml:space="preserve"> REF _Ref476223747 \h  \* MERGEFORMAT </w:instrText>
      </w:r>
      <w:r w:rsidR="00B44D40">
        <w:fldChar w:fldCharType="separate"/>
      </w:r>
      <w:r w:rsidR="0045723F" w:rsidRPr="00C40909">
        <w:rPr>
          <w:b/>
          <w:i/>
        </w:rPr>
        <w:t>Figure 6</w:t>
      </w:r>
      <w:r w:rsidR="00B44D40">
        <w:fldChar w:fldCharType="end"/>
      </w:r>
      <w:r w:rsidR="00BB21CC" w:rsidRPr="00C40909">
        <w:rPr>
          <w:i/>
          <w:color w:val="231F20"/>
        </w:rPr>
        <w:t>).</w:t>
      </w:r>
      <w:r w:rsidR="00BB21CC">
        <w:rPr>
          <w:color w:val="231F20"/>
        </w:rPr>
        <w:t xml:space="preserve"> Des r</w:t>
      </w:r>
      <w:r>
        <w:rPr>
          <w:color w:val="231F20"/>
        </w:rPr>
        <w:t>ésultats similaires sont mis en évi</w:t>
      </w:r>
      <w:r w:rsidR="003E4225">
        <w:rPr>
          <w:color w:val="231F20"/>
        </w:rPr>
        <w:t>dence</w:t>
      </w:r>
      <w:r w:rsidR="00BB21CC">
        <w:rPr>
          <w:color w:val="231F20"/>
        </w:rPr>
        <w:t xml:space="preserve"> à Baguinéda amont, avec une réduction de rendement estimé à </w:t>
      </w:r>
      <w:r w:rsidR="00BB21CC" w:rsidRPr="00BB21CC">
        <w:rPr>
          <w:color w:val="231F20"/>
        </w:rPr>
        <w:t>40.56 ± 6%</w:t>
      </w:r>
      <w:r w:rsidR="00BB21CC">
        <w:rPr>
          <w:color w:val="231F20"/>
        </w:rPr>
        <w:t xml:space="preserve">. Ces chiffres sont en accord avec </w:t>
      </w:r>
      <w:r w:rsidR="007E2913">
        <w:rPr>
          <w:color w:val="231F20"/>
        </w:rPr>
        <w:t xml:space="preserve">les estimations de </w:t>
      </w:r>
      <w:proofErr w:type="spellStart"/>
      <w:r w:rsidR="007E2913">
        <w:rPr>
          <w:color w:val="231F20"/>
        </w:rPr>
        <w:t>Africa</w:t>
      </w:r>
      <w:proofErr w:type="spellEnd"/>
      <w:r w:rsidR="007E2913">
        <w:rPr>
          <w:color w:val="231F20"/>
        </w:rPr>
        <w:t xml:space="preserve"> </w:t>
      </w:r>
      <w:proofErr w:type="spellStart"/>
      <w:r w:rsidR="007E2913">
        <w:rPr>
          <w:color w:val="231F20"/>
        </w:rPr>
        <w:t>Rice</w:t>
      </w:r>
      <w:proofErr w:type="spellEnd"/>
      <w:r w:rsidR="007E2913">
        <w:rPr>
          <w:color w:val="231F20"/>
        </w:rPr>
        <w:t xml:space="preserve"> </w:t>
      </w:r>
      <w:r w:rsidR="00B668CC">
        <w:rPr>
          <w:color w:val="231F20"/>
        </w:rPr>
        <w:fldChar w:fldCharType="begin"/>
      </w:r>
      <w:r w:rsidR="007E2913">
        <w:rPr>
          <w:color w:val="231F20"/>
        </w:rPr>
        <w:instrText xml:space="preserve"> ADDIN EN.CITE &lt;EndNote&gt;&lt;Cite&gt;&lt;Author&gt;WARDA&lt;/Author&gt;&lt;Year&gt;2006&lt;/Year&gt;&lt;RecNum&gt;77&lt;/RecNum&gt;&lt;DisplayText&gt;&lt;style font="Times New Roman" size="10"&gt;(WARDA 2006)&lt;/style&gt;&lt;/DisplayText&gt;&lt;record&gt;&lt;rec-number&gt;77&lt;/rec-number&gt;&lt;foreign-keys&gt;&lt;key app="EN" db-id="9fwepsrswaze5fe2velxxsppptdpaz9f9s9z"&gt;77&lt;/key&gt;&lt;/foreign-keys&gt;&lt;ref-type name="Book"&gt;6&lt;/ref-type&gt;&lt;contributors&gt;&lt;authors&gt;&lt;author&gt;WARDA&lt;/author&gt;&lt;/authors&gt;&lt;secondary-authors&gt;&lt;author&gt;Audebert, A.,&lt;/author&gt;&lt;author&gt;Narteh, L.T.,&lt;/author&gt;&lt;author&gt;Kiepe, P. ,&lt;/author&gt;&lt;author&gt;Millar, D.,&lt;/author&gt;&lt;author&gt;Beks, B. ,&lt;/author&gt;&lt;/secondary-authors&gt;&lt;/contributors&gt;&lt;titles&gt;&lt;title&gt;Iron toxicity in rice-based systems in West Africa&lt;/title&gt;&lt;/titles&gt;&lt;pages&gt;175&lt;/pages&gt;&lt;dates&gt;&lt;year&gt;2006&lt;/year&gt;&lt;/dates&gt;&lt;pub-location&gt;Cotonou (Benin)&lt;/pub-location&gt;&lt;isbn&gt;92 9113 3000&lt;/isbn&gt;&lt;urls&gt;&lt;/urls&gt;&lt;/record&gt;&lt;/Cite&gt;&lt;/EndNote&gt;</w:instrText>
      </w:r>
      <w:r w:rsidR="00B668CC">
        <w:rPr>
          <w:color w:val="231F20"/>
        </w:rPr>
        <w:fldChar w:fldCharType="separate"/>
      </w:r>
      <w:r w:rsidR="007E2913" w:rsidRPr="007E2913">
        <w:rPr>
          <w:rFonts w:cs="Times New Roman"/>
          <w:noProof/>
          <w:color w:val="231F20"/>
        </w:rPr>
        <w:t>(</w:t>
      </w:r>
      <w:hyperlink w:anchor="_ENREF_19" w:tooltip="WARDA, 2006 #77" w:history="1">
        <w:r w:rsidR="00210100" w:rsidRPr="007E2913">
          <w:rPr>
            <w:rFonts w:cs="Times New Roman"/>
            <w:noProof/>
            <w:color w:val="231F20"/>
          </w:rPr>
          <w:t>WARDA 2006</w:t>
        </w:r>
      </w:hyperlink>
      <w:r w:rsidR="007E2913" w:rsidRPr="007E2913">
        <w:rPr>
          <w:rFonts w:cs="Times New Roman"/>
          <w:noProof/>
          <w:color w:val="231F20"/>
        </w:rPr>
        <w:t>)</w:t>
      </w:r>
      <w:r w:rsidR="00B668CC">
        <w:rPr>
          <w:color w:val="231F20"/>
        </w:rPr>
        <w:fldChar w:fldCharType="end"/>
      </w:r>
      <w:r w:rsidR="007E2913">
        <w:rPr>
          <w:szCs w:val="36"/>
        </w:rPr>
        <w:t xml:space="preserve"> </w:t>
      </w:r>
      <w:r w:rsidR="00BB21CC">
        <w:rPr>
          <w:szCs w:val="36"/>
        </w:rPr>
        <w:t xml:space="preserve">qui </w:t>
      </w:r>
      <w:r w:rsidR="000C2F36">
        <w:rPr>
          <w:szCs w:val="36"/>
        </w:rPr>
        <w:t>évalue l’impact de la toxicité ferreuse sur le re</w:t>
      </w:r>
      <w:r w:rsidR="002C17B4">
        <w:rPr>
          <w:szCs w:val="36"/>
        </w:rPr>
        <w:t xml:space="preserve">ndement du riz à une réduction </w:t>
      </w:r>
      <w:r w:rsidR="000C2F36">
        <w:rPr>
          <w:szCs w:val="36"/>
        </w:rPr>
        <w:t xml:space="preserve">considérable d’environ </w:t>
      </w:r>
      <w:r w:rsidR="00BB21CC">
        <w:rPr>
          <w:szCs w:val="36"/>
        </w:rPr>
        <w:t>4</w:t>
      </w:r>
      <w:r w:rsidR="000C2F36">
        <w:rPr>
          <w:szCs w:val="36"/>
        </w:rPr>
        <w:t xml:space="preserve">0%, </w:t>
      </w:r>
      <w:r w:rsidR="00BB21CC">
        <w:rPr>
          <w:szCs w:val="36"/>
        </w:rPr>
        <w:t>dans les bas-fonds rizicoles intertropicales d’Afrique.</w:t>
      </w:r>
      <w:r w:rsidR="000C2F36">
        <w:rPr>
          <w:szCs w:val="36"/>
        </w:rPr>
        <w:t xml:space="preserve"> </w:t>
      </w:r>
      <w:r w:rsidR="00BB21CC">
        <w:rPr>
          <w:szCs w:val="36"/>
        </w:rPr>
        <w:t>La superficie total</w:t>
      </w:r>
      <w:r w:rsidR="00C33FD8">
        <w:rPr>
          <w:szCs w:val="36"/>
        </w:rPr>
        <w:t>e</w:t>
      </w:r>
      <w:r w:rsidR="00BB21CC">
        <w:rPr>
          <w:szCs w:val="36"/>
        </w:rPr>
        <w:t xml:space="preserve"> affectée à Baguinéda – en se fondant sur les proportions de superficies de l’échantillon – est de 1013 ha</w:t>
      </w:r>
      <w:r w:rsidR="00C33FD8">
        <w:rPr>
          <w:szCs w:val="36"/>
        </w:rPr>
        <w:t>, soit le tiers du périmètre</w:t>
      </w:r>
      <w:r w:rsidR="00BB21CC">
        <w:rPr>
          <w:szCs w:val="36"/>
        </w:rPr>
        <w:t>. Le problème semble plus grave à Baguinéda Aval</w:t>
      </w:r>
      <w:r w:rsidR="007C0B79">
        <w:rPr>
          <w:szCs w:val="36"/>
        </w:rPr>
        <w:t>, avec 625 ha affectés</w:t>
      </w:r>
      <w:r w:rsidR="00BB21CC">
        <w:rPr>
          <w:szCs w:val="36"/>
        </w:rPr>
        <w:t xml:space="preserve"> (secteur 3 et 4).</w:t>
      </w:r>
      <w:r w:rsidR="004C15EA">
        <w:rPr>
          <w:szCs w:val="36"/>
        </w:rPr>
        <w:t xml:space="preserve"> Cette toxicité se développe en </w:t>
      </w:r>
      <w:r w:rsidR="00FB5949">
        <w:rPr>
          <w:szCs w:val="36"/>
        </w:rPr>
        <w:t xml:space="preserve">cas d’insuffisance de drainage provoquant </w:t>
      </w:r>
      <w:r w:rsidR="004C15EA">
        <w:t>des conditions d’engorgement en eau du sol favorisant sa réduction en fer ferreux (Fe</w:t>
      </w:r>
      <w:r w:rsidR="00B668CC" w:rsidRPr="00B04CBD">
        <w:rPr>
          <w:vertAlign w:val="superscript"/>
        </w:rPr>
        <w:t>2+</w:t>
      </w:r>
      <w:r w:rsidR="004C15EA">
        <w:t>).</w:t>
      </w:r>
      <w:r w:rsidR="004C15EA">
        <w:rPr>
          <w:szCs w:val="36"/>
        </w:rPr>
        <w:t xml:space="preserve"> </w:t>
      </w:r>
      <w:r w:rsidR="00C33FD8">
        <w:rPr>
          <w:szCs w:val="36"/>
        </w:rPr>
        <w:t xml:space="preserve">La lutte contre la toxicité ferreuse passe essentiellement par </w:t>
      </w:r>
      <w:r w:rsidR="004C15EA">
        <w:rPr>
          <w:szCs w:val="36"/>
        </w:rPr>
        <w:t xml:space="preserve">l’entretien du réseau de drainage </w:t>
      </w:r>
      <w:r w:rsidR="00FB5949">
        <w:rPr>
          <w:szCs w:val="36"/>
        </w:rPr>
        <w:t>de sort</w:t>
      </w:r>
      <w:r w:rsidR="006E012C">
        <w:rPr>
          <w:szCs w:val="36"/>
        </w:rPr>
        <w:t>e</w:t>
      </w:r>
      <w:r w:rsidR="00FB5949">
        <w:rPr>
          <w:szCs w:val="36"/>
        </w:rPr>
        <w:t xml:space="preserve"> à assurer son bon fonctionnement </w:t>
      </w:r>
      <w:r w:rsidR="004C15EA">
        <w:rPr>
          <w:szCs w:val="36"/>
        </w:rPr>
        <w:t xml:space="preserve">et l’apport d’amendements calcaires </w:t>
      </w:r>
      <w:r w:rsidR="00B668CC">
        <w:rPr>
          <w:szCs w:val="36"/>
        </w:rPr>
        <w:fldChar w:fldCharType="begin"/>
      </w:r>
      <w:r w:rsidR="004C15EA">
        <w:rPr>
          <w:szCs w:val="36"/>
        </w:rPr>
        <w:instrText xml:space="preserve"> ADDIN EN.CITE &lt;EndNote&gt;&lt;Cite&gt;&lt;Author&gt;Keïta&lt;/Author&gt;&lt;Year&gt;2013&lt;/Year&gt;&lt;RecNum&gt;173&lt;/RecNum&gt;&lt;DisplayText&gt;&lt;style font="Times New Roman" size="10"&gt;(Keïta et al. 2013a)&lt;/style&gt;&lt;/DisplayText&gt;&lt;record&gt;&lt;rec-number&gt;173&lt;/rec-number&gt;&lt;foreign-keys&gt;&lt;key app="EN" db-id="9fwepsrswaze5fe2velxxsppptdpaz9f9s9z"&gt;173&lt;/key&gt;&lt;/foreign-keys&gt;&lt;ref-type name="Journal Article"&gt;17&lt;/ref-type&gt;&lt;contributors&gt;&lt;authors&gt;&lt;author&gt;Amadou Keïta&lt;/author&gt;&lt;author&gt;Bart Schultz&lt;/author&gt;&lt;author&gt;Hamma Yacouba&lt;/author&gt;&lt;author&gt;Laszlo G. Hayde&lt;/author&gt;&lt;/authors&gt;&lt;/contributors&gt;&lt;titles&gt;&lt;title&gt;Clay and ferrous iron stratifications in a Tropical Savannah valley bottom soil under irrigated rice&lt;/title&gt;&lt;secondary-title&gt;Academia Journal of Agricultural Research&lt;/secondary-title&gt;&lt;/titles&gt;&lt;pages&gt;204-210&lt;/pages&gt;&lt;volume&gt;1&lt;/volume&gt;&lt;number&gt;11&lt;/number&gt;&lt;dates&gt;&lt;year&gt;2013&lt;/year&gt;&lt;/dates&gt;&lt;isbn&gt;ISSN: 2315-7739&lt;/isbn&gt;&lt;urls&gt;&lt;/urls&gt;&lt;/record&gt;&lt;/Cite&gt;&lt;/EndNote&gt;</w:instrText>
      </w:r>
      <w:r w:rsidR="00B668CC">
        <w:rPr>
          <w:szCs w:val="36"/>
        </w:rPr>
        <w:fldChar w:fldCharType="separate"/>
      </w:r>
      <w:r w:rsidR="004C15EA" w:rsidRPr="00BB1B6A">
        <w:rPr>
          <w:rFonts w:cs="Times New Roman"/>
          <w:noProof/>
          <w:szCs w:val="36"/>
        </w:rPr>
        <w:t>(</w:t>
      </w:r>
      <w:hyperlink w:anchor="_ENREF_6" w:tooltip="Keïta, 2013 #173" w:history="1">
        <w:r w:rsidR="004C15EA" w:rsidRPr="00BB1B6A">
          <w:rPr>
            <w:rFonts w:cs="Times New Roman"/>
            <w:noProof/>
            <w:szCs w:val="36"/>
          </w:rPr>
          <w:t>Keïta et al. 2013a</w:t>
        </w:r>
      </w:hyperlink>
      <w:r w:rsidR="004C15EA" w:rsidRPr="00BB1B6A">
        <w:rPr>
          <w:rFonts w:cs="Times New Roman"/>
          <w:noProof/>
          <w:szCs w:val="36"/>
        </w:rPr>
        <w:t>)</w:t>
      </w:r>
      <w:r w:rsidR="00B668CC">
        <w:rPr>
          <w:szCs w:val="36"/>
        </w:rPr>
        <w:fldChar w:fldCharType="end"/>
      </w:r>
      <w:r w:rsidR="004C15EA">
        <w:rPr>
          <w:szCs w:val="36"/>
        </w:rPr>
        <w:t xml:space="preserve">. </w:t>
      </w:r>
      <w:r w:rsidR="00FB5949">
        <w:rPr>
          <w:szCs w:val="36"/>
        </w:rPr>
        <w:t xml:space="preserve">Un engrais à base de chaux </w:t>
      </w:r>
      <w:r w:rsidR="00C33FD8">
        <w:rPr>
          <w:szCs w:val="36"/>
        </w:rPr>
        <w:t>présentement en pleine promoti</w:t>
      </w:r>
      <w:r w:rsidR="00FB5949">
        <w:rPr>
          <w:szCs w:val="36"/>
        </w:rPr>
        <w:t xml:space="preserve">on au Mali </w:t>
      </w:r>
      <w:r w:rsidR="00C33FD8">
        <w:rPr>
          <w:szCs w:val="36"/>
        </w:rPr>
        <w:t>pourrait grandement aider à résoudre ce problème.</w:t>
      </w:r>
    </w:p>
    <w:p w:rsidR="00C426DD" w:rsidRDefault="00C426DD" w:rsidP="00C42F8D">
      <w:pPr>
        <w:pStyle w:val="Titre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836"/>
      </w:tblGrid>
      <w:tr w:rsidR="00C426DD" w:rsidTr="000E2991">
        <w:tc>
          <w:tcPr>
            <w:tcW w:w="5211" w:type="dxa"/>
          </w:tcPr>
          <w:p w:rsidR="00C426DD" w:rsidRDefault="00C426DD" w:rsidP="000E2991">
            <w:pPr>
              <w:autoSpaceDE w:val="0"/>
              <w:autoSpaceDN w:val="0"/>
              <w:adjustRightInd w:val="0"/>
              <w:spacing w:before="240"/>
              <w:jc w:val="center"/>
              <w:rPr>
                <w:szCs w:val="36"/>
              </w:rPr>
            </w:pPr>
            <w:r>
              <w:rPr>
                <w:noProof/>
                <w:color w:val="231F20"/>
                <w:lang w:eastAsia="fr-FR"/>
              </w:rPr>
              <w:drawing>
                <wp:inline distT="0" distB="0" distL="0" distR="0" wp14:anchorId="4C14C69C" wp14:editId="54142B6F">
                  <wp:extent cx="2302703" cy="1295400"/>
                  <wp:effectExtent l="19050" t="0" r="2347" b="0"/>
                  <wp:docPr id="3" name="Image 238" descr="C:\Users\USER\Pictures\photo_baguinéda\20160801_14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photo_baguinéda\20160801_140119.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7815" cy="1315152"/>
                          </a:xfrm>
                          <a:prstGeom prst="rect">
                            <a:avLst/>
                          </a:prstGeom>
                          <a:noFill/>
                          <a:ln>
                            <a:noFill/>
                          </a:ln>
                        </pic:spPr>
                      </pic:pic>
                    </a:graphicData>
                  </a:graphic>
                </wp:inline>
              </w:drawing>
            </w:r>
          </w:p>
          <w:p w:rsidR="00C426DD" w:rsidRDefault="00C426DD" w:rsidP="000E2991">
            <w:pPr>
              <w:autoSpaceDE w:val="0"/>
              <w:autoSpaceDN w:val="0"/>
              <w:adjustRightInd w:val="0"/>
              <w:spacing w:before="240"/>
              <w:jc w:val="center"/>
              <w:rPr>
                <w:szCs w:val="36"/>
              </w:rPr>
            </w:pPr>
          </w:p>
          <w:p w:rsidR="00C426DD" w:rsidRPr="005152B8" w:rsidRDefault="00C426DD" w:rsidP="000E2991">
            <w:pPr>
              <w:pStyle w:val="Lgende"/>
              <w:rPr>
                <w:rFonts w:ascii="Times New Roman" w:hAnsi="Times New Roman"/>
                <w:sz w:val="20"/>
                <w:szCs w:val="20"/>
              </w:rPr>
            </w:pPr>
            <w:r w:rsidRPr="005152B8">
              <w:rPr>
                <w:rFonts w:ascii="Times New Roman" w:hAnsi="Times New Roman"/>
                <w:b/>
                <w:sz w:val="20"/>
                <w:szCs w:val="20"/>
              </w:rPr>
              <w:t xml:space="preserve">Figure </w:t>
            </w:r>
            <w:r w:rsidRPr="005152B8">
              <w:rPr>
                <w:b/>
                <w:sz w:val="20"/>
                <w:szCs w:val="20"/>
              </w:rPr>
              <w:fldChar w:fldCharType="begin"/>
            </w:r>
            <w:r w:rsidRPr="005152B8">
              <w:rPr>
                <w:rFonts w:ascii="Times New Roman" w:hAnsi="Times New Roman"/>
                <w:b/>
                <w:sz w:val="20"/>
                <w:szCs w:val="20"/>
              </w:rPr>
              <w:instrText xml:space="preserve"> SEQ Figure \* ARABIC </w:instrText>
            </w:r>
            <w:r w:rsidRPr="005152B8">
              <w:rPr>
                <w:b/>
                <w:sz w:val="20"/>
                <w:szCs w:val="20"/>
              </w:rPr>
              <w:fldChar w:fldCharType="separate"/>
            </w:r>
            <w:r w:rsidRPr="005152B8">
              <w:rPr>
                <w:rFonts w:ascii="Times New Roman" w:hAnsi="Times New Roman"/>
                <w:b/>
                <w:noProof/>
                <w:sz w:val="20"/>
                <w:szCs w:val="20"/>
              </w:rPr>
              <w:t>5</w:t>
            </w:r>
            <w:r w:rsidRPr="005152B8">
              <w:rPr>
                <w:b/>
                <w:sz w:val="20"/>
                <w:szCs w:val="20"/>
              </w:rPr>
              <w:fldChar w:fldCharType="end"/>
            </w:r>
            <w:r w:rsidRPr="005152B8">
              <w:rPr>
                <w:rFonts w:ascii="Times New Roman" w:hAnsi="Times New Roman"/>
                <w:sz w:val="20"/>
                <w:szCs w:val="20"/>
              </w:rPr>
              <w:t>: Affleurement de symptômes de toxicité ferreuse au canal secondaire CSB6</w:t>
            </w:r>
          </w:p>
          <w:p w:rsidR="00C426DD" w:rsidRDefault="00C426DD" w:rsidP="000E2991">
            <w:pPr>
              <w:autoSpaceDE w:val="0"/>
              <w:autoSpaceDN w:val="0"/>
              <w:adjustRightInd w:val="0"/>
              <w:spacing w:before="240"/>
              <w:rPr>
                <w:szCs w:val="36"/>
              </w:rPr>
            </w:pPr>
          </w:p>
          <w:p w:rsidR="00C426DD" w:rsidRDefault="00C426DD" w:rsidP="000E2991">
            <w:pPr>
              <w:autoSpaceDE w:val="0"/>
              <w:autoSpaceDN w:val="0"/>
              <w:adjustRightInd w:val="0"/>
              <w:spacing w:before="240"/>
              <w:ind w:firstLine="708"/>
              <w:rPr>
                <w:szCs w:val="36"/>
              </w:rPr>
            </w:pPr>
          </w:p>
        </w:tc>
        <w:tc>
          <w:tcPr>
            <w:tcW w:w="4075" w:type="dxa"/>
          </w:tcPr>
          <w:p w:rsidR="00C426DD" w:rsidRDefault="00C426DD" w:rsidP="000E2991">
            <w:pPr>
              <w:autoSpaceDE w:val="0"/>
              <w:autoSpaceDN w:val="0"/>
              <w:adjustRightInd w:val="0"/>
              <w:spacing w:before="240"/>
              <w:rPr>
                <w:szCs w:val="36"/>
              </w:rPr>
            </w:pPr>
            <w:r>
              <w:rPr>
                <w:noProof/>
                <w:lang w:eastAsia="fr-FR"/>
              </w:rPr>
              <w:drawing>
                <wp:inline distT="0" distB="0" distL="0" distR="0" wp14:anchorId="2D97A82D" wp14:editId="2E1B9DA4">
                  <wp:extent cx="2926334" cy="1591194"/>
                  <wp:effectExtent l="0" t="0" r="7620" b="952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2926334" cy="1591194"/>
                          </a:xfrm>
                          <a:prstGeom prst="rect">
                            <a:avLst/>
                          </a:prstGeom>
                        </pic:spPr>
                      </pic:pic>
                    </a:graphicData>
                  </a:graphic>
                </wp:inline>
              </w:drawing>
            </w:r>
          </w:p>
          <w:p w:rsidR="00C426DD" w:rsidRDefault="00C426DD" w:rsidP="000E2991">
            <w:pPr>
              <w:pStyle w:val="Lgende"/>
            </w:pPr>
          </w:p>
          <w:tbl>
            <w:tblPr>
              <w:tblStyle w:val="Grilledutableau"/>
              <w:tblW w:w="0" w:type="auto"/>
              <w:tblLook w:val="04A0" w:firstRow="1" w:lastRow="0" w:firstColumn="1" w:lastColumn="0" w:noHBand="0" w:noVBand="1"/>
            </w:tblPr>
            <w:tblGrid>
              <w:gridCol w:w="4605"/>
            </w:tblGrid>
            <w:tr w:rsidR="00C426DD" w:rsidTr="000E2991">
              <w:tc>
                <w:tcPr>
                  <w:tcW w:w="4605" w:type="dxa"/>
                </w:tcPr>
                <w:p w:rsidR="00C426DD" w:rsidRPr="005152B8" w:rsidRDefault="00C426DD" w:rsidP="000E2991">
                  <w:pPr>
                    <w:rPr>
                      <w:b/>
                      <w:sz w:val="14"/>
                      <w:szCs w:val="14"/>
                    </w:rPr>
                  </w:pPr>
                  <w:r w:rsidRPr="005152B8">
                    <w:rPr>
                      <w:sz w:val="14"/>
                      <w:szCs w:val="14"/>
                    </w:rPr>
                    <w:t>L’impact moyen pondéré de ces 14 taux de réduction est de 55,36±10,10% ; ce qui est proche de la valeur de Audebert. La superficie totale des parcelles des paysans ayant constaté des symptômes de toxicité ferreuse sur leur parcelle est de 21,39 ha sur les 59,35 ha de l’échantillon des 48 paysans. En extrapolant ces valeurs sur les 1733 ha de la zone, la superficie totale affectée serait de 625 ha</w:t>
                  </w:r>
                </w:p>
              </w:tc>
            </w:tr>
          </w:tbl>
          <w:p w:rsidR="00C426DD" w:rsidRPr="00555AFE" w:rsidRDefault="00C426DD" w:rsidP="000E2991">
            <w:pPr>
              <w:pStyle w:val="Lgende"/>
              <w:rPr>
                <w:rFonts w:ascii="Times New Roman" w:hAnsi="Times New Roman"/>
                <w:sz w:val="20"/>
                <w:szCs w:val="20"/>
              </w:rPr>
            </w:pPr>
            <w:r w:rsidRPr="005152B8">
              <w:rPr>
                <w:rFonts w:ascii="Times New Roman" w:hAnsi="Times New Roman"/>
                <w:b/>
                <w:sz w:val="20"/>
                <w:szCs w:val="20"/>
              </w:rPr>
              <w:t xml:space="preserve">Figure </w:t>
            </w:r>
            <w:r w:rsidRPr="005152B8">
              <w:rPr>
                <w:b/>
                <w:sz w:val="20"/>
                <w:szCs w:val="20"/>
              </w:rPr>
              <w:fldChar w:fldCharType="begin"/>
            </w:r>
            <w:r w:rsidRPr="005152B8">
              <w:rPr>
                <w:rFonts w:ascii="Times New Roman" w:hAnsi="Times New Roman"/>
                <w:b/>
                <w:sz w:val="20"/>
                <w:szCs w:val="20"/>
              </w:rPr>
              <w:instrText xml:space="preserve"> SEQ Figure \* ARABIC </w:instrText>
            </w:r>
            <w:r w:rsidRPr="005152B8">
              <w:rPr>
                <w:b/>
                <w:sz w:val="20"/>
                <w:szCs w:val="20"/>
              </w:rPr>
              <w:fldChar w:fldCharType="separate"/>
            </w:r>
            <w:r w:rsidRPr="005152B8">
              <w:rPr>
                <w:rFonts w:ascii="Times New Roman" w:hAnsi="Times New Roman"/>
                <w:b/>
                <w:noProof/>
                <w:sz w:val="20"/>
                <w:szCs w:val="20"/>
              </w:rPr>
              <w:t>6</w:t>
            </w:r>
            <w:r w:rsidRPr="005152B8">
              <w:rPr>
                <w:b/>
                <w:sz w:val="20"/>
                <w:szCs w:val="20"/>
              </w:rPr>
              <w:fldChar w:fldCharType="end"/>
            </w:r>
            <w:r w:rsidRPr="005152B8">
              <w:rPr>
                <w:rFonts w:ascii="Times New Roman" w:hAnsi="Times New Roman"/>
                <w:sz w:val="20"/>
                <w:szCs w:val="20"/>
              </w:rPr>
              <w:t xml:space="preserve"> : Estimation de la chute de rendement du riz liée à la toxicité ferreuse</w:t>
            </w:r>
          </w:p>
        </w:tc>
      </w:tr>
    </w:tbl>
    <w:p w:rsidR="00C426DD" w:rsidRDefault="00C426DD" w:rsidP="00C426DD">
      <w:pPr>
        <w:pStyle w:val="Titre2"/>
      </w:pPr>
      <w:r>
        <w:t xml:space="preserve">Quand pallier aux insuffisances du réseau </w:t>
      </w:r>
      <w:r w:rsidRPr="00A77A2B">
        <w:t>l’emporte sur le</w:t>
      </w:r>
      <w:r>
        <w:t xml:space="preserve"> respect du tour d’eau</w:t>
      </w:r>
    </w:p>
    <w:p w:rsidR="00C0463C" w:rsidRPr="00A6691A" w:rsidRDefault="00134AD0" w:rsidP="00C0463C">
      <w:pPr>
        <w:tabs>
          <w:tab w:val="left" w:pos="426"/>
          <w:tab w:val="left" w:pos="851"/>
          <w:tab w:val="left" w:pos="1276"/>
        </w:tabs>
        <w:overflowPunct w:val="0"/>
        <w:autoSpaceDE w:val="0"/>
        <w:autoSpaceDN w:val="0"/>
        <w:adjustRightInd w:val="0"/>
        <w:spacing w:before="240"/>
        <w:jc w:val="both"/>
        <w:textAlignment w:val="baseline"/>
        <w:rPr>
          <w:rFonts w:cs="Times New Roman"/>
        </w:rPr>
      </w:pPr>
      <w:r>
        <w:rPr>
          <w:bCs/>
        </w:rPr>
        <w:t>Le traitement des données</w:t>
      </w:r>
      <w:r w:rsidR="00A36152">
        <w:rPr>
          <w:bCs/>
        </w:rPr>
        <w:t xml:space="preserve"> issues du WASO montrent que « </w:t>
      </w:r>
      <w:r>
        <w:rPr>
          <w:bCs/>
        </w:rPr>
        <w:t xml:space="preserve">quantité </w:t>
      </w:r>
      <w:r w:rsidRPr="00134AD0">
        <w:rPr>
          <w:bCs/>
          <w:i/>
        </w:rPr>
        <w:t>d’eau suffisante</w:t>
      </w:r>
      <w:r w:rsidR="00A36152">
        <w:rPr>
          <w:bCs/>
          <w:i/>
        </w:rPr>
        <w:t> »</w:t>
      </w:r>
      <w:r w:rsidR="00A36152">
        <w:rPr>
          <w:bCs/>
        </w:rPr>
        <w:t xml:space="preserve"> et « </w:t>
      </w:r>
      <w:r w:rsidRPr="00134AD0">
        <w:rPr>
          <w:bCs/>
          <w:i/>
        </w:rPr>
        <w:t>respect du tour d’eau</w:t>
      </w:r>
      <w:r w:rsidR="00A36152">
        <w:rPr>
          <w:bCs/>
          <w:i/>
        </w:rPr>
        <w:t> »</w:t>
      </w:r>
      <w:r w:rsidR="00A36152">
        <w:rPr>
          <w:bCs/>
        </w:rPr>
        <w:t xml:space="preserve"> sont deux importa</w:t>
      </w:r>
      <w:r>
        <w:rPr>
          <w:bCs/>
        </w:rPr>
        <w:t>nts facteurs de motivation à l’entretien des drains</w:t>
      </w:r>
      <w:r w:rsidR="00A36152">
        <w:rPr>
          <w:bCs/>
        </w:rPr>
        <w:t xml:space="preserve"> dont les intensités</w:t>
      </w:r>
      <w:r>
        <w:rPr>
          <w:bCs/>
        </w:rPr>
        <w:t xml:space="preserve"> </w:t>
      </w:r>
      <w:r w:rsidR="00A36152">
        <w:rPr>
          <w:bCs/>
        </w:rPr>
        <w:t>d’opinion sont  nettement hiérarchisées</w:t>
      </w:r>
      <w:r>
        <w:rPr>
          <w:bCs/>
        </w:rPr>
        <w:t xml:space="preserve">. </w:t>
      </w:r>
      <w:r w:rsidR="00C0463C">
        <w:rPr>
          <w:bCs/>
        </w:rPr>
        <w:t>Le test de Mann-</w:t>
      </w:r>
      <w:proofErr w:type="spellStart"/>
      <w:r w:rsidR="00C0463C">
        <w:rPr>
          <w:bCs/>
        </w:rPr>
        <w:t>Witney</w:t>
      </w:r>
      <w:proofErr w:type="spellEnd"/>
      <w:r w:rsidR="00C0463C">
        <w:rPr>
          <w:bCs/>
        </w:rPr>
        <w:t xml:space="preserve"> (</w:t>
      </w:r>
      <w:r w:rsidR="00B44D40">
        <w:fldChar w:fldCharType="begin"/>
      </w:r>
      <w:r w:rsidR="00B44D40">
        <w:instrText xml:space="preserve"> REF _Ref476226101 \h  \* MERGEFORMAT </w:instrText>
      </w:r>
      <w:r w:rsidR="00B44D40">
        <w:fldChar w:fldCharType="separate"/>
      </w:r>
      <w:r w:rsidR="0045723F" w:rsidRPr="00C40909">
        <w:rPr>
          <w:b/>
          <w:i/>
        </w:rPr>
        <w:t>Tableau 1</w:t>
      </w:r>
      <w:r w:rsidR="00B44D40">
        <w:fldChar w:fldCharType="end"/>
      </w:r>
      <w:r w:rsidR="008B1B7D">
        <w:rPr>
          <w:bCs/>
        </w:rPr>
        <w:t xml:space="preserve">) montre que l’insatisfaction des paysans concerne en premier lieu </w:t>
      </w:r>
      <w:r w:rsidR="00C0463C">
        <w:rPr>
          <w:bCs/>
        </w:rPr>
        <w:t>l’insuffisance de l’eau (p &lt; 5%).</w:t>
      </w:r>
      <w:r w:rsidR="008B1B7D">
        <w:rPr>
          <w:rFonts w:cs="Times New Roman"/>
        </w:rPr>
        <w:t xml:space="preserve"> B</w:t>
      </w:r>
      <w:r w:rsidR="00C0463C">
        <w:rPr>
          <w:rFonts w:cs="Times New Roman"/>
        </w:rPr>
        <w:t xml:space="preserve">eaucoup </w:t>
      </w:r>
      <w:r w:rsidR="0048220F">
        <w:rPr>
          <w:rFonts w:cs="Times New Roman"/>
        </w:rPr>
        <w:t>d’exploitants</w:t>
      </w:r>
      <w:r w:rsidR="00C0463C" w:rsidRPr="00A6691A">
        <w:rPr>
          <w:rFonts w:cs="Times New Roman"/>
        </w:rPr>
        <w:t xml:space="preserve"> soulignent que l’insuffisance d’eau </w:t>
      </w:r>
      <w:r w:rsidR="00C0463C" w:rsidRPr="0048220F">
        <w:rPr>
          <w:rFonts w:cs="Times New Roman"/>
          <w:i/>
        </w:rPr>
        <w:t>entra</w:t>
      </w:r>
      <w:r w:rsidR="0048220F" w:rsidRPr="0048220F">
        <w:rPr>
          <w:rFonts w:cs="Times New Roman"/>
          <w:i/>
        </w:rPr>
        <w:t>î</w:t>
      </w:r>
      <w:r w:rsidR="00C0463C" w:rsidRPr="0048220F">
        <w:rPr>
          <w:rFonts w:cs="Times New Roman"/>
          <w:i/>
        </w:rPr>
        <w:t>ne</w:t>
      </w:r>
      <w:r w:rsidR="00C0463C" w:rsidRPr="00A6691A">
        <w:rPr>
          <w:rFonts w:cs="Times New Roman"/>
        </w:rPr>
        <w:t xml:space="preserve"> le non-respect du tour d’eau, cr</w:t>
      </w:r>
      <w:r w:rsidR="008B1B7D">
        <w:rPr>
          <w:rFonts w:cs="Times New Roman"/>
        </w:rPr>
        <w:t>éant ainsi des inégalités source de</w:t>
      </w:r>
      <w:r w:rsidR="00C0463C" w:rsidRPr="00A6691A">
        <w:rPr>
          <w:rFonts w:cs="Times New Roman"/>
        </w:rPr>
        <w:t xml:space="preserve"> conflits </w:t>
      </w:r>
      <w:r w:rsidR="00A36152">
        <w:rPr>
          <w:rFonts w:cs="Times New Roman"/>
        </w:rPr>
        <w:t xml:space="preserve">entre paysans. Cette </w:t>
      </w:r>
      <w:r w:rsidR="00A36152">
        <w:rPr>
          <w:bCs/>
        </w:rPr>
        <w:t>insatisfaction des paysans</w:t>
      </w:r>
      <w:r w:rsidR="00C0463C" w:rsidRPr="00A6691A">
        <w:rPr>
          <w:rFonts w:cs="Times New Roman"/>
        </w:rPr>
        <w:t xml:space="preserve"> est </w:t>
      </w:r>
      <w:r w:rsidR="00A77A2B">
        <w:rPr>
          <w:rFonts w:cs="Times New Roman"/>
        </w:rPr>
        <w:t xml:space="preserve">non seulement </w:t>
      </w:r>
      <w:r w:rsidR="00A36152">
        <w:rPr>
          <w:rFonts w:cs="Times New Roman"/>
        </w:rPr>
        <w:t>à la base de</w:t>
      </w:r>
      <w:r w:rsidR="00C0463C" w:rsidRPr="00A6691A">
        <w:rPr>
          <w:rFonts w:cs="Times New Roman"/>
        </w:rPr>
        <w:t xml:space="preserve"> mauvaises pratiques telles que les barrages en sacs érigés dans les drains et les canaux d’irrigation, mais aussi </w:t>
      </w:r>
      <w:r w:rsidR="00C0463C">
        <w:rPr>
          <w:rFonts w:cs="Times New Roman"/>
        </w:rPr>
        <w:t>d</w:t>
      </w:r>
      <w:r w:rsidR="00C0463C" w:rsidRPr="00A6691A">
        <w:rPr>
          <w:rFonts w:cs="Times New Roman"/>
        </w:rPr>
        <w:t xml:space="preserve">es puits creusés dans les parcelles ainsi que dans les drains. </w:t>
      </w:r>
      <w:r w:rsidR="00700F96">
        <w:rPr>
          <w:rFonts w:cs="Times New Roman"/>
        </w:rPr>
        <w:t>Un contexte du même type est décrite dans une étude menée</w:t>
      </w:r>
      <w:r w:rsidR="00C0463C" w:rsidRPr="00A6691A">
        <w:rPr>
          <w:rFonts w:cs="Times New Roman"/>
        </w:rPr>
        <w:t xml:space="preserve"> à l’Office du Niger</w:t>
      </w:r>
      <w:r w:rsidR="00873BCC">
        <w:rPr>
          <w:rFonts w:cs="Times New Roman"/>
        </w:rPr>
        <w:t xml:space="preserve"> </w:t>
      </w:r>
      <w:r w:rsidR="00B668CC">
        <w:rPr>
          <w:rFonts w:cs="Times New Roman"/>
        </w:rPr>
        <w:fldChar w:fldCharType="begin"/>
      </w:r>
      <w:r w:rsidR="00873BCC">
        <w:rPr>
          <w:rFonts w:cs="Times New Roman"/>
        </w:rPr>
        <w:instrText xml:space="preserve"> ADDIN EN.CITE &lt;EndNote&gt;&lt;Cite&gt;&lt;Author&gt;Vandersypen&lt;/Author&gt;&lt;Year&gt;2006&lt;/Year&gt;&lt;RecNum&gt;307&lt;/RecNum&gt;&lt;DisplayText&gt;&lt;style font="Times New Roman" size="10"&gt;(Vandersypen et al. 2006)&lt;/style&gt;&lt;/DisplayText&gt;&lt;record&gt;&lt;rec-number&gt;307&lt;/rec-number&gt;&lt;foreign-keys&gt;&lt;key app="EN" db-id="9fwepsrswaze5fe2velxxsppptdpaz9f9s9z"&gt;307&lt;/key&gt;&lt;/foreign-keys&gt;&lt;ref-type name="Journal Article"&gt;17&lt;/ref-type&gt;&lt;contributors&gt;&lt;authors&gt;&lt;author&gt;Klaartje Vandersypen&lt;/author&gt;&lt;author&gt;Keita ACT, &lt;/author&gt;&lt;author&gt;K Kaloga&lt;/author&gt;&lt;author&gt;Y Coulibaly&lt;/author&gt;&lt;author&gt;Dirk Raes&lt;/author&gt;&lt;author&gt;J Yves Jamin&lt;/author&gt;&lt;/authors&gt;&lt;/contributors&gt;&lt;titles&gt;&lt;title&gt;Sustainability of Farmers’ Organization of Water Management in the Office Du Niger Irrigation Scheme in Mali &lt;/title&gt;&lt;secondary-title&gt; Irrigation and Drainage Systems&lt;/secondary-title&gt;&lt;/titles&gt;&lt;pages&gt;51-60&lt;/pages&gt;&lt;volume&gt;55&lt;/volume&gt;&lt;number&gt;1&lt;/number&gt;&lt;dates&gt;&lt;year&gt;2006&lt;/year&gt;&lt;/dates&gt;&lt;urls&gt;&lt;/urls&gt;&lt;/record&gt;&lt;/Cite&gt;&lt;/EndNote&gt;</w:instrText>
      </w:r>
      <w:r w:rsidR="00B668CC">
        <w:rPr>
          <w:rFonts w:cs="Times New Roman"/>
        </w:rPr>
        <w:fldChar w:fldCharType="separate"/>
      </w:r>
      <w:r w:rsidR="00873BCC">
        <w:rPr>
          <w:rFonts w:cs="Times New Roman"/>
          <w:noProof/>
        </w:rPr>
        <w:t>(</w:t>
      </w:r>
      <w:hyperlink w:anchor="_ENREF_18" w:tooltip="Vandersypen, 2006 #307" w:history="1">
        <w:r w:rsidR="00210100">
          <w:rPr>
            <w:rFonts w:cs="Times New Roman"/>
            <w:noProof/>
          </w:rPr>
          <w:t>Vandersypen et al. 2006</w:t>
        </w:r>
      </w:hyperlink>
      <w:r w:rsidR="00873BCC">
        <w:rPr>
          <w:rFonts w:cs="Times New Roman"/>
          <w:noProof/>
        </w:rPr>
        <w:t>)</w:t>
      </w:r>
      <w:r w:rsidR="00B668CC">
        <w:rPr>
          <w:rFonts w:cs="Times New Roman"/>
        </w:rPr>
        <w:fldChar w:fldCharType="end"/>
      </w:r>
      <w:r w:rsidR="00700F96">
        <w:rPr>
          <w:rFonts w:cs="Times New Roman"/>
        </w:rPr>
        <w:t xml:space="preserve"> où de telles</w:t>
      </w:r>
      <w:r w:rsidR="00C0463C" w:rsidRPr="00A6691A">
        <w:rPr>
          <w:rFonts w:cs="Times New Roman"/>
        </w:rPr>
        <w:t xml:space="preserve"> stra</w:t>
      </w:r>
      <w:r w:rsidR="00700F96">
        <w:rPr>
          <w:rFonts w:cs="Times New Roman"/>
        </w:rPr>
        <w:t>tégies individualistes conduisent à des problèmes de distribution de l’eau et d</w:t>
      </w:r>
      <w:r w:rsidR="00C0463C" w:rsidRPr="00A6691A">
        <w:rPr>
          <w:rFonts w:cs="Times New Roman"/>
        </w:rPr>
        <w:t xml:space="preserve">’entretien des drains. </w:t>
      </w:r>
      <w:r w:rsidR="00873BCC">
        <w:rPr>
          <w:rFonts w:cs="Times New Roman"/>
        </w:rPr>
        <w:t>Les</w:t>
      </w:r>
      <w:r w:rsidR="00C0463C" w:rsidRPr="00A6691A">
        <w:rPr>
          <w:rFonts w:cs="Times New Roman"/>
        </w:rPr>
        <w:t xml:space="preserve"> mêmes auteurs ajoutent que l’inefficacité de </w:t>
      </w:r>
      <w:r w:rsidR="00A36152">
        <w:rPr>
          <w:rFonts w:cs="Times New Roman"/>
        </w:rPr>
        <w:t xml:space="preserve">la </w:t>
      </w:r>
      <w:r w:rsidR="00C0463C" w:rsidRPr="00A6691A">
        <w:rPr>
          <w:rFonts w:cs="Times New Roman"/>
        </w:rPr>
        <w:t xml:space="preserve">pression sociale et l’adoption incomplète d’une mentalité de responsabilité collective sont des obstacles à une organisation solide de la gestion de l’eau. </w:t>
      </w:r>
    </w:p>
    <w:p w:rsidR="008C3E12" w:rsidRPr="005152B8" w:rsidRDefault="008C3E12" w:rsidP="00700F96">
      <w:pPr>
        <w:pStyle w:val="Lgende"/>
        <w:keepNext/>
        <w:rPr>
          <w:sz w:val="20"/>
          <w:szCs w:val="20"/>
        </w:rPr>
      </w:pPr>
      <w:bookmarkStart w:id="8" w:name="_Ref476226101"/>
      <w:bookmarkStart w:id="9" w:name="_Toc473014513"/>
      <w:r w:rsidRPr="005152B8">
        <w:rPr>
          <w:sz w:val="20"/>
          <w:szCs w:val="20"/>
        </w:rPr>
        <w:lastRenderedPageBreak/>
        <w:t xml:space="preserve">Tableau </w:t>
      </w:r>
      <w:r w:rsidR="00B668CC" w:rsidRPr="005152B8">
        <w:rPr>
          <w:sz w:val="20"/>
          <w:szCs w:val="20"/>
        </w:rPr>
        <w:fldChar w:fldCharType="begin"/>
      </w:r>
      <w:r w:rsidRPr="005152B8">
        <w:rPr>
          <w:sz w:val="20"/>
          <w:szCs w:val="20"/>
        </w:rPr>
        <w:instrText xml:space="preserve"> SEQ Tableau \* ARABIC </w:instrText>
      </w:r>
      <w:r w:rsidR="00B668CC" w:rsidRPr="005152B8">
        <w:rPr>
          <w:sz w:val="20"/>
          <w:szCs w:val="20"/>
        </w:rPr>
        <w:fldChar w:fldCharType="separate"/>
      </w:r>
      <w:r w:rsidRPr="005152B8">
        <w:rPr>
          <w:noProof/>
          <w:sz w:val="20"/>
          <w:szCs w:val="20"/>
        </w:rPr>
        <w:t>1</w:t>
      </w:r>
      <w:r w:rsidR="00B668CC" w:rsidRPr="005152B8">
        <w:rPr>
          <w:sz w:val="20"/>
          <w:szCs w:val="20"/>
        </w:rPr>
        <w:fldChar w:fldCharType="end"/>
      </w:r>
      <w:bookmarkEnd w:id="8"/>
      <w:r w:rsidRPr="005152B8">
        <w:rPr>
          <w:sz w:val="20"/>
          <w:szCs w:val="20"/>
        </w:rPr>
        <w:t>: Test de Mann-Whitney du QTE4 des strates PO et PR</w:t>
      </w:r>
      <w:bookmarkEnd w:id="9"/>
    </w:p>
    <w:tbl>
      <w:tblPr>
        <w:tblStyle w:val="Tableauliste3"/>
        <w:tblW w:w="0" w:type="auto"/>
        <w:jc w:val="center"/>
        <w:tblInd w:w="2660" w:type="dxa"/>
        <w:tblLook w:val="04A0" w:firstRow="1" w:lastRow="0" w:firstColumn="1" w:lastColumn="0" w:noHBand="0" w:noVBand="1"/>
      </w:tblPr>
      <w:tblGrid>
        <w:gridCol w:w="2835"/>
        <w:gridCol w:w="992"/>
        <w:gridCol w:w="1874"/>
      </w:tblGrid>
      <w:tr w:rsidR="008C3E12" w:rsidRPr="007E2913" w:rsidTr="00733610">
        <w:trPr>
          <w:cnfStyle w:val="100000000000" w:firstRow="1" w:lastRow="0" w:firstColumn="0" w:lastColumn="0" w:oddVBand="0" w:evenVBand="0" w:oddHBand="0" w:evenHBand="0" w:firstRowFirstColumn="0" w:firstRowLastColumn="0" w:lastRowFirstColumn="0" w:lastRowLastColumn="0"/>
          <w:trHeight w:val="237"/>
          <w:jc w:val="center"/>
        </w:trPr>
        <w:tc>
          <w:tcPr>
            <w:tcW w:w="2835" w:type="dxa"/>
          </w:tcPr>
          <w:p w:rsidR="008C3E12" w:rsidRPr="007E2913" w:rsidRDefault="008C3E12" w:rsidP="00700F96">
            <w:pPr>
              <w:keepNext/>
              <w:widowControl/>
              <w:autoSpaceDE w:val="0"/>
              <w:autoSpaceDN w:val="0"/>
              <w:adjustRightInd w:val="0"/>
              <w:spacing w:line="240" w:lineRule="auto"/>
              <w:jc w:val="left"/>
              <w:rPr>
                <w:color w:val="auto"/>
              </w:rPr>
            </w:pPr>
            <w:r w:rsidRPr="007E2913">
              <w:rPr>
                <w:color w:val="auto"/>
              </w:rPr>
              <w:t>Mode de gestion de l’eau</w:t>
            </w:r>
            <w:r w:rsidRPr="007E2913">
              <w:rPr>
                <w:rStyle w:val="Appelnotedebasdep"/>
                <w:color w:val="auto"/>
              </w:rPr>
              <w:footnoteReference w:id="3"/>
            </w:r>
          </w:p>
        </w:tc>
        <w:tc>
          <w:tcPr>
            <w:tcW w:w="992" w:type="dxa"/>
          </w:tcPr>
          <w:p w:rsidR="008C3E12" w:rsidRPr="007E2913" w:rsidRDefault="008C3E12" w:rsidP="00700F96">
            <w:pPr>
              <w:keepNext/>
              <w:widowControl/>
              <w:spacing w:line="240" w:lineRule="auto"/>
              <w:jc w:val="center"/>
              <w:rPr>
                <w:color w:val="auto"/>
              </w:rPr>
            </w:pPr>
            <w:r w:rsidRPr="007E2913">
              <w:rPr>
                <w:color w:val="auto"/>
              </w:rPr>
              <w:t>N</w:t>
            </w:r>
          </w:p>
        </w:tc>
        <w:tc>
          <w:tcPr>
            <w:tcW w:w="1874" w:type="dxa"/>
          </w:tcPr>
          <w:p w:rsidR="008C3E12" w:rsidRPr="007E2913" w:rsidRDefault="008C3E12" w:rsidP="00700F96">
            <w:pPr>
              <w:keepNext/>
              <w:widowControl/>
              <w:spacing w:line="240" w:lineRule="auto"/>
              <w:jc w:val="center"/>
              <w:rPr>
                <w:color w:val="auto"/>
              </w:rPr>
            </w:pPr>
            <w:r w:rsidRPr="007E2913">
              <w:rPr>
                <w:color w:val="auto"/>
              </w:rPr>
              <w:t xml:space="preserve">Médiane </w:t>
            </w:r>
          </w:p>
        </w:tc>
      </w:tr>
      <w:tr w:rsidR="008C3E12" w:rsidRPr="007E2913" w:rsidTr="00733610">
        <w:trPr>
          <w:trHeight w:val="241"/>
          <w:jc w:val="center"/>
        </w:trPr>
        <w:tc>
          <w:tcPr>
            <w:tcW w:w="2835" w:type="dxa"/>
          </w:tcPr>
          <w:p w:rsidR="008C3E12" w:rsidRPr="007E2913" w:rsidRDefault="008C3E12" w:rsidP="00700F96">
            <w:pPr>
              <w:keepNext/>
              <w:widowControl/>
              <w:autoSpaceDE w:val="0"/>
              <w:autoSpaceDN w:val="0"/>
              <w:adjustRightInd w:val="0"/>
              <w:spacing w:line="240" w:lineRule="auto"/>
              <w:jc w:val="left"/>
            </w:pPr>
            <w:r w:rsidRPr="007E2913">
              <w:t>Quantité d’eau suffisante</w:t>
            </w:r>
          </w:p>
        </w:tc>
        <w:tc>
          <w:tcPr>
            <w:tcW w:w="992" w:type="dxa"/>
          </w:tcPr>
          <w:p w:rsidR="008C3E12" w:rsidRPr="007E2913" w:rsidRDefault="008C3E12" w:rsidP="00700F96">
            <w:pPr>
              <w:keepNext/>
              <w:widowControl/>
              <w:spacing w:line="240" w:lineRule="auto"/>
              <w:jc w:val="center"/>
            </w:pPr>
            <w:r w:rsidRPr="007E2913">
              <w:t>48</w:t>
            </w:r>
          </w:p>
        </w:tc>
        <w:tc>
          <w:tcPr>
            <w:tcW w:w="1874" w:type="dxa"/>
          </w:tcPr>
          <w:p w:rsidR="008C3E12" w:rsidRPr="007E2913" w:rsidRDefault="008C3E12" w:rsidP="00700F96">
            <w:pPr>
              <w:keepNext/>
              <w:widowControl/>
              <w:spacing w:line="240" w:lineRule="auto"/>
              <w:jc w:val="center"/>
            </w:pPr>
            <w:r w:rsidRPr="007E2913">
              <w:t>η1 = 20,0</w:t>
            </w:r>
          </w:p>
        </w:tc>
      </w:tr>
      <w:tr w:rsidR="008C3E12" w:rsidRPr="007E2913" w:rsidTr="00733610">
        <w:trPr>
          <w:trHeight w:val="263"/>
          <w:jc w:val="center"/>
        </w:trPr>
        <w:tc>
          <w:tcPr>
            <w:tcW w:w="2835" w:type="dxa"/>
          </w:tcPr>
          <w:p w:rsidR="008C3E12" w:rsidRPr="007E2913" w:rsidRDefault="008C3E12" w:rsidP="00700F96">
            <w:pPr>
              <w:keepNext/>
              <w:widowControl/>
              <w:autoSpaceDE w:val="0"/>
              <w:autoSpaceDN w:val="0"/>
              <w:adjustRightInd w:val="0"/>
              <w:spacing w:line="240" w:lineRule="auto"/>
              <w:jc w:val="left"/>
            </w:pPr>
            <w:r w:rsidRPr="007E2913">
              <w:t>Tour d’eau respecté</w:t>
            </w:r>
          </w:p>
        </w:tc>
        <w:tc>
          <w:tcPr>
            <w:tcW w:w="992" w:type="dxa"/>
          </w:tcPr>
          <w:p w:rsidR="008C3E12" w:rsidRPr="007E2913" w:rsidRDefault="008C3E12" w:rsidP="00700F96">
            <w:pPr>
              <w:keepNext/>
              <w:widowControl/>
              <w:spacing w:line="240" w:lineRule="auto"/>
              <w:jc w:val="center"/>
            </w:pPr>
            <w:r w:rsidRPr="007E2913">
              <w:t>48</w:t>
            </w:r>
          </w:p>
        </w:tc>
        <w:tc>
          <w:tcPr>
            <w:tcW w:w="1874" w:type="dxa"/>
          </w:tcPr>
          <w:p w:rsidR="008C3E12" w:rsidRPr="007E2913" w:rsidRDefault="008C3E12" w:rsidP="00700F96">
            <w:pPr>
              <w:keepNext/>
              <w:widowControl/>
              <w:spacing w:line="240" w:lineRule="auto"/>
              <w:jc w:val="center"/>
            </w:pPr>
            <w:r w:rsidRPr="007E2913">
              <w:t>η2 = 16,0</w:t>
            </w:r>
          </w:p>
        </w:tc>
      </w:tr>
      <w:tr w:rsidR="008C3E12" w:rsidRPr="007E2913" w:rsidTr="00733610">
        <w:trPr>
          <w:trHeight w:val="267"/>
          <w:jc w:val="center"/>
        </w:trPr>
        <w:tc>
          <w:tcPr>
            <w:tcW w:w="5701" w:type="dxa"/>
            <w:gridSpan w:val="3"/>
          </w:tcPr>
          <w:p w:rsidR="008C3E12" w:rsidRPr="007E2913" w:rsidRDefault="008C3E12" w:rsidP="00700F96">
            <w:pPr>
              <w:keepNext/>
              <w:widowControl/>
              <w:autoSpaceDE w:val="0"/>
              <w:autoSpaceDN w:val="0"/>
              <w:adjustRightInd w:val="0"/>
              <w:spacing w:line="240" w:lineRule="auto"/>
              <w:jc w:val="center"/>
            </w:pPr>
            <w:r w:rsidRPr="007E2913">
              <w:t>Le test de η1 = η2 vs η1 ≠ η2 est significatif à p-value = 0.00</w:t>
            </w:r>
          </w:p>
        </w:tc>
      </w:tr>
    </w:tbl>
    <w:p w:rsidR="008C3E12" w:rsidRDefault="008C3E12" w:rsidP="00700F96">
      <w:pPr>
        <w:keepNext/>
        <w:autoSpaceDE w:val="0"/>
        <w:autoSpaceDN w:val="0"/>
        <w:adjustRightInd w:val="0"/>
        <w:spacing w:after="0" w:line="240" w:lineRule="auto"/>
        <w:jc w:val="center"/>
        <w:rPr>
          <w:rFonts w:ascii="Arial" w:hAnsi="Arial" w:cs="Arial"/>
          <w:sz w:val="14"/>
          <w:szCs w:val="20"/>
        </w:rPr>
      </w:pPr>
    </w:p>
    <w:tbl>
      <w:tblPr>
        <w:tblStyle w:val="Grilledutableau"/>
        <w:tblW w:w="0" w:type="auto"/>
        <w:tblLook w:val="04A0" w:firstRow="1" w:lastRow="0" w:firstColumn="1" w:lastColumn="0" w:noHBand="0" w:noVBand="1"/>
      </w:tblPr>
      <w:tblGrid>
        <w:gridCol w:w="9286"/>
      </w:tblGrid>
      <w:tr w:rsidR="008C3E12" w:rsidTr="008C3E12">
        <w:tc>
          <w:tcPr>
            <w:tcW w:w="9286" w:type="dxa"/>
          </w:tcPr>
          <w:p w:rsidR="008C3E12" w:rsidRPr="008A33DF" w:rsidRDefault="00B668CC" w:rsidP="00700F96">
            <w:pPr>
              <w:keepNext/>
              <w:autoSpaceDE w:val="0"/>
              <w:autoSpaceDN w:val="0"/>
              <w:adjustRightInd w:val="0"/>
              <w:rPr>
                <w:rFonts w:cs="Arial"/>
                <w:color w:val="262626" w:themeColor="text1" w:themeTint="D9"/>
                <w:sz w:val="14"/>
                <w:szCs w:val="20"/>
              </w:rPr>
            </w:pPr>
            <w:r w:rsidRPr="00B668CC">
              <w:rPr>
                <w:rFonts w:cstheme="minorBidi"/>
                <w:color w:val="262626" w:themeColor="text1" w:themeTint="D9"/>
                <w:sz w:val="14"/>
                <w:szCs w:val="20"/>
              </w:rPr>
              <w:t xml:space="preserve">Les deux modes de gestion sont significativement différents </w:t>
            </w:r>
            <w:r w:rsidRPr="00B668CC">
              <w:rPr>
                <w:rFonts w:cstheme="minorBidi"/>
                <w:bCs/>
                <w:color w:val="262626" w:themeColor="text1" w:themeTint="D9"/>
                <w:sz w:val="14"/>
                <w:szCs w:val="20"/>
              </w:rPr>
              <w:t xml:space="preserve">(p-value = 0,00 &lt; α = 0,05). </w:t>
            </w:r>
            <w:r w:rsidRPr="00B668CC">
              <w:rPr>
                <w:rFonts w:cstheme="minorBidi"/>
                <w:color w:val="262626" w:themeColor="text1" w:themeTint="D9"/>
                <w:sz w:val="14"/>
                <w:szCs w:val="20"/>
              </w:rPr>
              <w:t>Au total 48 paysans</w:t>
            </w:r>
            <w:r w:rsidRPr="00B668CC">
              <w:rPr>
                <w:rFonts w:cstheme="minorBidi"/>
                <w:color w:val="262626" w:themeColor="text1" w:themeTint="D9"/>
                <w:sz w:val="14"/>
                <w:szCs w:val="20"/>
              </w:rPr>
              <w:br/>
              <w:t xml:space="preserve"> ont été interrogés et 96 réponses ont été évaluées avec le WASO pour cette question à Baguinéda Aval</w:t>
            </w:r>
            <w:r w:rsidR="008C3E12" w:rsidRPr="008A33DF">
              <w:rPr>
                <w:rFonts w:cs="Arial"/>
                <w:color w:val="262626" w:themeColor="text1" w:themeTint="D9"/>
                <w:sz w:val="14"/>
                <w:szCs w:val="20"/>
              </w:rPr>
              <w:t>.</w:t>
            </w:r>
          </w:p>
        </w:tc>
      </w:tr>
    </w:tbl>
    <w:p w:rsidR="00D34C4A" w:rsidRDefault="008C3E12" w:rsidP="00D34C4A">
      <w:pPr>
        <w:tabs>
          <w:tab w:val="left" w:pos="426"/>
          <w:tab w:val="left" w:pos="851"/>
          <w:tab w:val="left" w:pos="1276"/>
        </w:tabs>
        <w:overflowPunct w:val="0"/>
        <w:autoSpaceDE w:val="0"/>
        <w:autoSpaceDN w:val="0"/>
        <w:adjustRightInd w:val="0"/>
        <w:spacing w:before="240"/>
        <w:jc w:val="both"/>
        <w:textAlignment w:val="baseline"/>
        <w:rPr>
          <w:bCs/>
        </w:rPr>
      </w:pPr>
      <w:r>
        <w:rPr>
          <w:bCs/>
        </w:rPr>
        <w:t>D</w:t>
      </w:r>
      <w:r w:rsidR="0048220F">
        <w:rPr>
          <w:bCs/>
        </w:rPr>
        <w:t xml:space="preserve">’autres raisons importantes peuvent être invoquées pour expliquer </w:t>
      </w:r>
      <w:r w:rsidR="00700F96">
        <w:rPr>
          <w:bCs/>
        </w:rPr>
        <w:t>la pénurie d</w:t>
      </w:r>
      <w:r w:rsidR="0048220F">
        <w:rPr>
          <w:bCs/>
        </w:rPr>
        <w:t>’eau. La</w:t>
      </w:r>
      <w:r w:rsidR="00D34C4A">
        <w:rPr>
          <w:bCs/>
        </w:rPr>
        <w:t xml:space="preserve"> tarification de la redevance eau à l’OPIB se fait à l’unité de surface et non du volume consommé. </w:t>
      </w:r>
      <w:r w:rsidR="003A6443">
        <w:rPr>
          <w:bCs/>
        </w:rPr>
        <w:t>Il semble que cela</w:t>
      </w:r>
      <w:r w:rsidR="00D34C4A">
        <w:rPr>
          <w:bCs/>
        </w:rPr>
        <w:t xml:space="preserve"> entra</w:t>
      </w:r>
      <w:r w:rsidR="0048220F">
        <w:rPr>
          <w:bCs/>
        </w:rPr>
        <w:t>î</w:t>
      </w:r>
      <w:r w:rsidR="00D34C4A">
        <w:rPr>
          <w:bCs/>
        </w:rPr>
        <w:t>ne un</w:t>
      </w:r>
      <w:r w:rsidR="00700F96">
        <w:rPr>
          <w:bCs/>
        </w:rPr>
        <w:t>e surconsommation de l’eau alors que</w:t>
      </w:r>
      <w:r w:rsidR="00217796">
        <w:rPr>
          <w:bCs/>
        </w:rPr>
        <w:t xml:space="preserve"> la</w:t>
      </w:r>
      <w:r w:rsidR="00D34C4A">
        <w:rPr>
          <w:bCs/>
        </w:rPr>
        <w:t xml:space="preserve"> </w:t>
      </w:r>
      <w:r w:rsidR="00217796">
        <w:rPr>
          <w:bCs/>
        </w:rPr>
        <w:t>ressource en eau est</w:t>
      </w:r>
      <w:r w:rsidR="00D34C4A">
        <w:rPr>
          <w:bCs/>
        </w:rPr>
        <w:t xml:space="preserve"> limitée par les besoins de la c</w:t>
      </w:r>
      <w:r w:rsidR="00217796">
        <w:rPr>
          <w:bCs/>
        </w:rPr>
        <w:t>entrale hydroélectrique d’EDM. Cette situation risque encore d</w:t>
      </w:r>
      <w:r w:rsidR="00D34C4A">
        <w:rPr>
          <w:bCs/>
        </w:rPr>
        <w:t>’empirer avec le projet d’installation d’une nouvelle centrale hydroélectrique un peu plus en aval de</w:t>
      </w:r>
      <w:r w:rsidR="00217796">
        <w:rPr>
          <w:bCs/>
        </w:rPr>
        <w:t xml:space="preserve"> la première dont l’installation entraînera </w:t>
      </w:r>
      <w:r w:rsidR="00D34C4A">
        <w:rPr>
          <w:bCs/>
        </w:rPr>
        <w:t xml:space="preserve">également </w:t>
      </w:r>
      <w:r w:rsidR="00217796">
        <w:rPr>
          <w:bCs/>
        </w:rPr>
        <w:t>l’éviction d’</w:t>
      </w:r>
      <w:r w:rsidR="00D34C4A">
        <w:rPr>
          <w:bCs/>
        </w:rPr>
        <w:t>exploitants des secteurs 1</w:t>
      </w:r>
      <w:r w:rsidR="00217796">
        <w:rPr>
          <w:bCs/>
        </w:rPr>
        <w:t xml:space="preserve"> et 2.</w:t>
      </w:r>
    </w:p>
    <w:p w:rsidR="004F0E0B" w:rsidRDefault="00217796" w:rsidP="00C42F8D">
      <w:pPr>
        <w:pStyle w:val="Titre2"/>
      </w:pPr>
      <w:r>
        <w:t>De fortes pertes par percolation à la parcelle</w:t>
      </w:r>
      <w:r w:rsidR="004F0E0B">
        <w:t xml:space="preserve"> </w:t>
      </w:r>
      <w:r>
        <w:t>ne motivant pas les agriculteurs à l’entretien d</w:t>
      </w:r>
      <w:r w:rsidR="004F0E0B">
        <w:t>es drains</w:t>
      </w:r>
    </w:p>
    <w:p w:rsidR="0043000E" w:rsidRDefault="00176BE0" w:rsidP="00D34C4A">
      <w:pPr>
        <w:jc w:val="both"/>
        <w:rPr>
          <w:bCs/>
        </w:rPr>
      </w:pPr>
      <w:r>
        <w:rPr>
          <w:bCs/>
        </w:rPr>
        <w:t>Si le</w:t>
      </w:r>
      <w:r w:rsidR="00D34C4A">
        <w:rPr>
          <w:bCs/>
        </w:rPr>
        <w:t xml:space="preserve"> manque d’eau qui induit le non-respect du tour d’eau est dû </w:t>
      </w:r>
      <w:r>
        <w:rPr>
          <w:bCs/>
        </w:rPr>
        <w:t xml:space="preserve">en partie </w:t>
      </w:r>
      <w:r w:rsidR="00D34C4A">
        <w:rPr>
          <w:bCs/>
        </w:rPr>
        <w:t xml:space="preserve">au manque d’entretien des rigoles d’irrigation, </w:t>
      </w:r>
      <w:r>
        <w:rPr>
          <w:bCs/>
        </w:rPr>
        <w:t>il ressort des enquêtes et mesure</w:t>
      </w:r>
      <w:r w:rsidR="007659BA">
        <w:rPr>
          <w:bCs/>
        </w:rPr>
        <w:t>s</w:t>
      </w:r>
      <w:r>
        <w:rPr>
          <w:bCs/>
        </w:rPr>
        <w:t xml:space="preserve"> que d’importantes </w:t>
      </w:r>
      <w:r w:rsidR="00A77A2B">
        <w:rPr>
          <w:bCs/>
        </w:rPr>
        <w:t>percolations</w:t>
      </w:r>
      <w:r w:rsidR="00D34C4A">
        <w:rPr>
          <w:bCs/>
        </w:rPr>
        <w:t xml:space="preserve"> </w:t>
      </w:r>
      <w:r>
        <w:rPr>
          <w:bCs/>
        </w:rPr>
        <w:t>sont également en cause</w:t>
      </w:r>
      <w:r w:rsidR="00D34C4A">
        <w:rPr>
          <w:bCs/>
        </w:rPr>
        <w:t xml:space="preserve"> </w:t>
      </w:r>
      <w:r w:rsidR="00D34C4A" w:rsidRPr="00D30717">
        <w:t>(</w:t>
      </w:r>
      <w:proofErr w:type="spellStart"/>
      <w:r w:rsidR="00D34C4A" w:rsidRPr="00D30717">
        <w:t>Ghazouani</w:t>
      </w:r>
      <w:proofErr w:type="spellEnd"/>
      <w:r w:rsidR="00D34C4A" w:rsidRPr="00D30717">
        <w:t xml:space="preserve"> et al. 2007)</w:t>
      </w:r>
      <w:r w:rsidR="00D34C4A">
        <w:rPr>
          <w:bCs/>
        </w:rPr>
        <w:t>. A Baguinéda aval,</w:t>
      </w:r>
      <w:r w:rsidR="00D34C4A" w:rsidRPr="00BE0E16">
        <w:rPr>
          <w:bCs/>
        </w:rPr>
        <w:t xml:space="preserve"> 10 % des </w:t>
      </w:r>
      <w:r w:rsidR="00D34C4A">
        <w:rPr>
          <w:bCs/>
        </w:rPr>
        <w:t>PO estiment</w:t>
      </w:r>
      <w:r w:rsidR="00D34C4A" w:rsidRPr="00BE0E16">
        <w:rPr>
          <w:bCs/>
        </w:rPr>
        <w:t xml:space="preserve"> que l’infiltration du sol de leur parcelle </w:t>
      </w:r>
      <w:r w:rsidR="00D34C4A">
        <w:rPr>
          <w:bCs/>
        </w:rPr>
        <w:t>est</w:t>
      </w:r>
      <w:r w:rsidR="00D34C4A" w:rsidRPr="00C24A81">
        <w:rPr>
          <w:bCs/>
        </w:rPr>
        <w:t xml:space="preserve"> </w:t>
      </w:r>
      <w:r w:rsidR="00D34C4A" w:rsidRPr="00BE0E16">
        <w:rPr>
          <w:bCs/>
        </w:rPr>
        <w:t>trop élevée</w:t>
      </w:r>
      <w:r w:rsidR="00D34C4A">
        <w:rPr>
          <w:bCs/>
        </w:rPr>
        <w:t>. Les pertes par percolation qui en résultent</w:t>
      </w:r>
      <w:r w:rsidR="00A77A2B">
        <w:rPr>
          <w:bCs/>
        </w:rPr>
        <w:t xml:space="preserve"> </w:t>
      </w:r>
      <w:r w:rsidR="00D34C4A">
        <w:rPr>
          <w:bCs/>
        </w:rPr>
        <w:t xml:space="preserve">seraient selon eux une cause évidente du </w:t>
      </w:r>
      <w:r w:rsidR="00D34C4A" w:rsidRPr="00BE0E16">
        <w:rPr>
          <w:bCs/>
        </w:rPr>
        <w:t>manque d’eau.</w:t>
      </w:r>
      <w:r w:rsidR="00EA33A5">
        <w:rPr>
          <w:bCs/>
        </w:rPr>
        <w:t xml:space="preserve"> </w:t>
      </w:r>
      <w:r w:rsidR="00A77A2B">
        <w:rPr>
          <w:bCs/>
        </w:rPr>
        <w:t>A</w:t>
      </w:r>
      <w:r w:rsidR="00EA33A5">
        <w:rPr>
          <w:bCs/>
        </w:rPr>
        <w:t xml:space="preserve"> Baguinéda amont </w:t>
      </w:r>
      <w:r>
        <w:rPr>
          <w:bCs/>
        </w:rPr>
        <w:t xml:space="preserve">la perméabilité mesurée </w:t>
      </w:r>
      <w:r w:rsidR="00EA33A5">
        <w:rPr>
          <w:bCs/>
        </w:rPr>
        <w:t>est de 44.33 ±</w:t>
      </w:r>
      <w:r w:rsidR="0044710C">
        <w:rPr>
          <w:bCs/>
        </w:rPr>
        <w:t xml:space="preserve"> </w:t>
      </w:r>
      <w:r w:rsidR="00EA33A5">
        <w:rPr>
          <w:bCs/>
        </w:rPr>
        <w:t xml:space="preserve">20.13 mm/j, tandis qu’elle s’élève à Baguinéda aval à de </w:t>
      </w:r>
      <w:r w:rsidR="00EA33A5" w:rsidRPr="00EA33A5">
        <w:rPr>
          <w:bCs/>
        </w:rPr>
        <w:t>22,13 ± 6.87</w:t>
      </w:r>
      <w:r w:rsidR="00A77A2B">
        <w:rPr>
          <w:bCs/>
        </w:rPr>
        <w:t xml:space="preserve"> mm/j</w:t>
      </w:r>
      <w:r w:rsidR="00263C4F">
        <w:rPr>
          <w:bCs/>
        </w:rPr>
        <w:t xml:space="preserve"> (</w:t>
      </w:r>
      <w:r w:rsidR="00B44D40">
        <w:fldChar w:fldCharType="begin"/>
      </w:r>
      <w:r w:rsidR="00B44D40">
        <w:instrText xml:space="preserve"> REF _Ref476227602 \h  \* MERGEFORMAT </w:instrText>
      </w:r>
      <w:r w:rsidR="00B44D40">
        <w:fldChar w:fldCharType="separate"/>
      </w:r>
      <w:r w:rsidR="0045723F" w:rsidRPr="00B45E94">
        <w:rPr>
          <w:b/>
          <w:i/>
        </w:rPr>
        <w:t>Figure 7</w:t>
      </w:r>
      <w:r w:rsidR="00B44D40">
        <w:fldChar w:fldCharType="end"/>
      </w:r>
      <w:r w:rsidR="00263C4F">
        <w:rPr>
          <w:bCs/>
        </w:rPr>
        <w:t>)</w:t>
      </w:r>
      <w:r w:rsidR="00C40909">
        <w:rPr>
          <w:bCs/>
        </w:rPr>
        <w:t xml:space="preserve">. </w:t>
      </w:r>
    </w:p>
    <w:p w:rsidR="00792EF2" w:rsidRDefault="00792EF2" w:rsidP="00792EF2">
      <w:pPr>
        <w:keepNext/>
        <w:spacing w:line="240" w:lineRule="auto"/>
        <w:jc w:val="center"/>
      </w:pPr>
      <w:r>
        <w:rPr>
          <w:noProof/>
          <w:lang w:eastAsia="fr-FR"/>
        </w:rPr>
        <w:drawing>
          <wp:inline distT="0" distB="0" distL="0" distR="0" wp14:anchorId="5E6E258E" wp14:editId="42A3A801">
            <wp:extent cx="4086885" cy="3484418"/>
            <wp:effectExtent l="0" t="0" r="8890" b="1905"/>
            <wp:docPr id="3352" name="Imag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11079" b="28665"/>
                    <a:stretch/>
                  </pic:blipFill>
                  <pic:spPr bwMode="auto">
                    <a:xfrm>
                      <a:off x="0" y="0"/>
                      <a:ext cx="4100850" cy="34963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9286"/>
      </w:tblGrid>
      <w:tr w:rsidR="00F56D84" w:rsidTr="00F56D84">
        <w:tc>
          <w:tcPr>
            <w:tcW w:w="9286" w:type="dxa"/>
          </w:tcPr>
          <w:p w:rsidR="00F56D84" w:rsidRPr="00B04CBD" w:rsidRDefault="00B668CC" w:rsidP="00F56D84">
            <w:pPr>
              <w:widowControl w:val="0"/>
              <w:numPr>
                <w:ilvl w:val="8"/>
                <w:numId w:val="9"/>
              </w:numPr>
              <w:spacing w:before="240" w:after="60" w:line="360" w:lineRule="auto"/>
              <w:jc w:val="center"/>
              <w:outlineLvl w:val="8"/>
              <w:rPr>
                <w:rFonts w:ascii="Times New Roman" w:hAnsi="Times New Roman"/>
                <w:sz w:val="14"/>
              </w:rPr>
            </w:pPr>
            <w:r>
              <w:rPr>
                <w:bCs/>
                <w:color w:val="262626" w:themeColor="text1" w:themeTint="D9"/>
                <w:sz w:val="14"/>
              </w:rPr>
              <w:t>Dans la zone Baguinéda aval pour les parcelles objet d’enquête, la perméabilité moyenne est : 0,92±0,29 mm/h, soient 22,13 ± 6.87mm/j</w:t>
            </w:r>
            <w:r>
              <w:rPr>
                <w:bCs/>
                <w:sz w:val="14"/>
              </w:rPr>
              <w:t>.</w:t>
            </w:r>
          </w:p>
        </w:tc>
      </w:tr>
    </w:tbl>
    <w:p w:rsidR="00792EF2" w:rsidRPr="005152B8" w:rsidRDefault="00792EF2" w:rsidP="005152B8">
      <w:pPr>
        <w:pStyle w:val="Lgende"/>
        <w:rPr>
          <w:sz w:val="20"/>
          <w:szCs w:val="20"/>
        </w:rPr>
      </w:pPr>
      <w:bookmarkStart w:id="10" w:name="_Ref476227602"/>
      <w:bookmarkStart w:id="11" w:name="_Toc473014629"/>
      <w:r w:rsidRPr="005152B8">
        <w:rPr>
          <w:sz w:val="20"/>
          <w:szCs w:val="20"/>
        </w:rPr>
        <w:lastRenderedPageBreak/>
        <w:t xml:space="preserve">Figure </w:t>
      </w:r>
      <w:r w:rsidR="00B668CC" w:rsidRPr="005152B8">
        <w:rPr>
          <w:sz w:val="20"/>
          <w:szCs w:val="20"/>
        </w:rPr>
        <w:fldChar w:fldCharType="begin"/>
      </w:r>
      <w:r w:rsidRPr="005152B8">
        <w:rPr>
          <w:sz w:val="20"/>
          <w:szCs w:val="20"/>
        </w:rPr>
        <w:instrText xml:space="preserve"> SEQ Figure \* ARABIC </w:instrText>
      </w:r>
      <w:r w:rsidR="00B668CC" w:rsidRPr="005152B8">
        <w:rPr>
          <w:sz w:val="20"/>
          <w:szCs w:val="20"/>
        </w:rPr>
        <w:fldChar w:fldCharType="separate"/>
      </w:r>
      <w:r w:rsidR="0045723F" w:rsidRPr="005152B8">
        <w:rPr>
          <w:sz w:val="20"/>
          <w:szCs w:val="20"/>
        </w:rPr>
        <w:t>7</w:t>
      </w:r>
      <w:r w:rsidR="00B668CC" w:rsidRPr="005152B8">
        <w:rPr>
          <w:sz w:val="20"/>
          <w:szCs w:val="20"/>
        </w:rPr>
        <w:fldChar w:fldCharType="end"/>
      </w:r>
      <w:bookmarkEnd w:id="10"/>
      <w:r w:rsidRPr="005152B8">
        <w:rPr>
          <w:sz w:val="20"/>
          <w:szCs w:val="20"/>
        </w:rPr>
        <w:t xml:space="preserve"> : Interpolation des mesures de perméabilité du sol de Baguinéda </w:t>
      </w:r>
      <w:proofErr w:type="gramStart"/>
      <w:r w:rsidRPr="005152B8">
        <w:rPr>
          <w:sz w:val="20"/>
          <w:szCs w:val="20"/>
        </w:rPr>
        <w:t>aval</w:t>
      </w:r>
      <w:bookmarkEnd w:id="11"/>
      <w:r w:rsidR="001A51A4" w:rsidRPr="005152B8">
        <w:rPr>
          <w:sz w:val="20"/>
          <w:szCs w:val="20"/>
        </w:rPr>
        <w:t>(</w:t>
      </w:r>
      <w:proofErr w:type="gramEnd"/>
      <w:r w:rsidR="001A51A4" w:rsidRPr="005152B8">
        <w:rPr>
          <w:sz w:val="20"/>
          <w:szCs w:val="20"/>
        </w:rPr>
        <w:t>mm/h)</w:t>
      </w:r>
    </w:p>
    <w:p w:rsidR="004251C1" w:rsidRDefault="004251C1" w:rsidP="0019621A">
      <w:pPr>
        <w:jc w:val="both"/>
      </w:pPr>
      <w:r>
        <w:rPr>
          <w:bCs/>
        </w:rPr>
        <w:t xml:space="preserve">Alors que la plupart des périmètres rizicoles de la zone sont dimensionnés sur la base de 2 à 4 mm/j </w:t>
      </w:r>
      <w:r w:rsidR="00B668CC">
        <w:rPr>
          <w:bCs/>
        </w:rPr>
        <w:fldChar w:fldCharType="begin"/>
      </w:r>
      <w:r>
        <w:rPr>
          <w:bCs/>
        </w:rPr>
        <w:instrText xml:space="preserve"> ADDIN EN.CITE &lt;EndNote&gt;&lt;Cite&gt;&lt;Author&gt;Keïta&lt;/Author&gt;&lt;Year&gt;2014&lt;/Year&gt;&lt;RecNum&gt;236&lt;/RecNum&gt;&lt;DisplayText&gt;&lt;style font="Times New Roman" size="10"&gt;(Keïta et al. 2014)&lt;/style&gt;&lt;/DisplayText&gt;&lt;record&gt;&lt;rec-number&gt;236&lt;/rec-number&gt;&lt;foreign-keys&gt;&lt;key app="EN" db-id="9fwepsrswaze5fe2velxxsppptdpaz9f9s9z"&gt;236&lt;/key&gt;&lt;/foreign-keys&gt;&lt;ref-type name="Journal Article"&gt;17&lt;/ref-type&gt;&lt;contributors&gt;&lt;authors&gt;&lt;author&gt;Amadou Keïta&lt;/author&gt;&lt;author&gt;Hamma Yacouba&lt;/author&gt;&lt;author&gt;Laszlo G. Hayde&lt;/author&gt;&lt;author&gt;Bart Schultz&lt;/author&gt;&lt;/authors&gt;&lt;/contributors&gt;&lt;titles&gt;&lt;title&gt;Comparative non-linear regression - a case of infiltration rate increase from upstream in valley&lt;/title&gt;&lt;secondary-title&gt;International Agrophysics&lt;/secondary-title&gt;&lt;/titles&gt;&lt;pages&gt;303-310&lt;/pages&gt;&lt;volume&gt;28&lt;/volume&gt;&lt;dates&gt;&lt;year&gt;2014&lt;/year&gt;&lt;/dates&gt;&lt;urls&gt;&lt;/urls&gt;&lt;electronic-resource-num&gt;10.2478/intag-2014-0020&lt;/electronic-resource-num&gt;&lt;/record&gt;&lt;/Cite&gt;&lt;/EndNote&gt;</w:instrText>
      </w:r>
      <w:r w:rsidR="00B668CC">
        <w:rPr>
          <w:bCs/>
        </w:rPr>
        <w:fldChar w:fldCharType="separate"/>
      </w:r>
      <w:r w:rsidRPr="00A77A2B">
        <w:rPr>
          <w:rFonts w:cs="Times New Roman"/>
          <w:bCs/>
          <w:noProof/>
        </w:rPr>
        <w:t>(</w:t>
      </w:r>
      <w:hyperlink w:anchor="_ENREF_8" w:tooltip="Keïta, 2014 #236" w:history="1">
        <w:r w:rsidRPr="00A77A2B">
          <w:rPr>
            <w:rFonts w:cs="Times New Roman"/>
            <w:bCs/>
            <w:noProof/>
          </w:rPr>
          <w:t>Keïta et al. 2014</w:t>
        </w:r>
      </w:hyperlink>
      <w:r w:rsidRPr="00A77A2B">
        <w:rPr>
          <w:rFonts w:cs="Times New Roman"/>
          <w:bCs/>
          <w:noProof/>
        </w:rPr>
        <w:t>)</w:t>
      </w:r>
      <w:r w:rsidR="00B668CC">
        <w:rPr>
          <w:bCs/>
        </w:rPr>
        <w:fldChar w:fldCharType="end"/>
      </w:r>
      <w:r>
        <w:rPr>
          <w:bCs/>
        </w:rPr>
        <w:t xml:space="preserve">, les valeurs </w:t>
      </w:r>
      <w:r w:rsidR="008F64C1">
        <w:rPr>
          <w:bCs/>
        </w:rPr>
        <w:t xml:space="preserve">élevées </w:t>
      </w:r>
      <w:r>
        <w:rPr>
          <w:bCs/>
        </w:rPr>
        <w:t>de perméabilité mesurées corroborent le constat de fortes pertes par percolation fait par les paysans.  Ces fortes pertes par percolation amènent les paysans à non seulement sur-irriguer leurs parcelles, ce qui a pour conséquence le non-respect du tour d’eau, mais aussi à limiter le drainage des parcelles par les drains en y maintenant un niveau d’eau élevé par (i) leur non entretien et (ii) si nécessaire la construction d’obstacles bloquant l’écoulement de l’eau dans les drains</w:t>
      </w:r>
      <w:r w:rsidR="008F64C1">
        <w:rPr>
          <w:bCs/>
        </w:rPr>
        <w:t>.</w:t>
      </w:r>
    </w:p>
    <w:p w:rsidR="0019621A" w:rsidRPr="00A6691A" w:rsidRDefault="00C40909" w:rsidP="0019621A">
      <w:pPr>
        <w:jc w:val="both"/>
      </w:pPr>
      <w:r>
        <w:t xml:space="preserve">Il existe pourtant des solutions efficaces et plus durables à la réduction </w:t>
      </w:r>
      <w:r w:rsidR="00DD4348">
        <w:t>de ces pertes</w:t>
      </w:r>
      <w:r w:rsidR="001C6F7A">
        <w:t>.</w:t>
      </w:r>
      <w:r w:rsidR="008F4E61">
        <w:t xml:space="preserve"> </w:t>
      </w:r>
      <w:r w:rsidR="001C6F7A">
        <w:t xml:space="preserve">On peut citer parmi les solutions </w:t>
      </w:r>
      <w:r w:rsidR="00DD4348">
        <w:t>visant à réduire la perméabilité des sols</w:t>
      </w:r>
      <w:r>
        <w:t>: i) l’apport d’argile, ii) l’incorporation de la fumure organique – souvent moins disponible cependant si l’éle</w:t>
      </w:r>
      <w:r w:rsidR="006976EE">
        <w:t xml:space="preserve">vage n’est pas intensifiée , </w:t>
      </w:r>
      <w:r>
        <w:t xml:space="preserve">iii) les amendements calcaires combattant en même temps la toxicité ferreuse du riz </w:t>
      </w:r>
      <w:r w:rsidR="00B668CC">
        <w:fldChar w:fldCharType="begin"/>
      </w:r>
      <w:r>
        <w:instrText xml:space="preserve"> ADDIN EN.CITE &lt;EndNote&gt;&lt;Cite&gt;&lt;Author&gt;Keïta&lt;/Author&gt;&lt;Year&gt;2014&lt;/Year&gt;&lt;RecNum&gt;236&lt;/RecNum&gt;&lt;DisplayText&gt;&lt;style font="Times New Roman" size="10"&gt;(Keïta et al. 2014)&lt;/style&gt;&lt;/DisplayText&gt;&lt;record&gt;&lt;rec-number&gt;236&lt;/rec-number&gt;&lt;foreign-keys&gt;&lt;key app="EN" db-id="9fwepsrswaze5fe2velxxsppptdpaz9f9s9z"&gt;236&lt;/key&gt;&lt;/foreign-keys&gt;&lt;ref-type name="Journal Article"&gt;17&lt;/ref-type&gt;&lt;contributors&gt;&lt;authors&gt;&lt;author&gt;Amadou Keïta&lt;/author&gt;&lt;author&gt;Hamma Yacouba&lt;/author&gt;&lt;author&gt;Laszlo G. Hayde&lt;/author&gt;&lt;author&gt;Bart Schultz&lt;/author&gt;&lt;/authors&gt;&lt;/contributors&gt;&lt;titles&gt;&lt;title&gt;Comparative non-linear regression - a case of infiltration rate increase from upstream in valley&lt;/title&gt;&lt;secondary-title&gt;International Agrophysics&lt;/secondary-title&gt;&lt;/titles&gt;&lt;pages&gt;303-310&lt;/pages&gt;&lt;volume&gt;28&lt;/volume&gt;&lt;dates&gt;&lt;year&gt;2014&lt;/year&gt;&lt;/dates&gt;&lt;urls&gt;&lt;/urls&gt;&lt;electronic-resource-num&gt;10.2478/intag-2014-0020&lt;/electronic-resource-num&gt;&lt;/record&gt;&lt;/Cite&gt;&lt;/EndNote&gt;</w:instrText>
      </w:r>
      <w:r w:rsidR="00B668CC">
        <w:fldChar w:fldCharType="separate"/>
      </w:r>
      <w:r w:rsidRPr="00A01B27">
        <w:rPr>
          <w:rFonts w:cs="Times New Roman"/>
          <w:noProof/>
        </w:rPr>
        <w:t>(</w:t>
      </w:r>
      <w:hyperlink w:anchor="_ENREF_8" w:tooltip="Keïta, 2014 #236" w:history="1">
        <w:r w:rsidRPr="00A01B27">
          <w:rPr>
            <w:rFonts w:cs="Times New Roman"/>
            <w:noProof/>
          </w:rPr>
          <w:t>Keïta et al. 2014</w:t>
        </w:r>
      </w:hyperlink>
      <w:r w:rsidRPr="00A01B27">
        <w:rPr>
          <w:rFonts w:cs="Times New Roman"/>
          <w:noProof/>
        </w:rPr>
        <w:t>)</w:t>
      </w:r>
      <w:r w:rsidR="00B668CC">
        <w:fldChar w:fldCharType="end"/>
      </w:r>
      <w:r w:rsidR="001C6F7A">
        <w:t xml:space="preserve">. </w:t>
      </w:r>
      <w:r w:rsidR="001A1283">
        <w:t>Par ailleurs, l</w:t>
      </w:r>
      <w:r w:rsidR="00781217">
        <w:t>a pratique de la mise en boue est une option très souvent utilisée dans la mesure où sa pratique systématique conduit à la création d’une zone compactée en dessous de la zone travaillée qui limite les pertes par percolation.</w:t>
      </w:r>
      <w:r w:rsidR="0019621A">
        <w:t xml:space="preserve"> </w:t>
      </w:r>
      <w:r w:rsidR="00DD4348">
        <w:t xml:space="preserve">Un autre type de solution concerne la réduction de la </w:t>
      </w:r>
      <w:proofErr w:type="spellStart"/>
      <w:r w:rsidR="00DD4348">
        <w:t>drainabilité</w:t>
      </w:r>
      <w:proofErr w:type="spellEnd"/>
      <w:r w:rsidR="00DD4348">
        <w:t xml:space="preserve"> du système par la gestion du niveau de l’eau dans les drains de sorte qu’elle permette à la fois de diminuer les pertes due au dr</w:t>
      </w:r>
      <w:r w:rsidR="004251C1">
        <w:t xml:space="preserve">ainage tout en permettant des à </w:t>
      </w:r>
      <w:r w:rsidR="00DD4348">
        <w:t>secs temporaires visa</w:t>
      </w:r>
      <w:r w:rsidR="001A1283">
        <w:t>nt</w:t>
      </w:r>
      <w:r w:rsidR="00DD4348">
        <w:t xml:space="preserve"> à lut</w:t>
      </w:r>
      <w:r w:rsidR="0019621A">
        <w:t xml:space="preserve">ter contre la toxicité </w:t>
      </w:r>
      <w:r w:rsidR="001A1283">
        <w:t>ferreuse </w:t>
      </w:r>
      <w:r w:rsidR="0019621A">
        <w:t xml:space="preserve">; elle suppose des ouvrages de régulation sur les drains du type de ceux qui équipent le périmètre de </w:t>
      </w:r>
      <w:proofErr w:type="spellStart"/>
      <w:r w:rsidR="0019621A">
        <w:t>Sélingué</w:t>
      </w:r>
      <w:proofErr w:type="spellEnd"/>
      <w:r w:rsidR="00AF1A93">
        <w:t xml:space="preserve"> (Mali)</w:t>
      </w:r>
      <w:r w:rsidR="0019621A">
        <w:t>.</w:t>
      </w:r>
    </w:p>
    <w:p w:rsidR="00892538" w:rsidRDefault="006976EE" w:rsidP="00C42F8D">
      <w:pPr>
        <w:pStyle w:val="Titre2"/>
      </w:pPr>
      <w:r>
        <w:t xml:space="preserve">Un contexte organisationnel peu incitatif </w:t>
      </w:r>
      <w:r w:rsidR="00892538">
        <w:t>à l’entretien des drains</w:t>
      </w:r>
    </w:p>
    <w:p w:rsidR="00D12BD2" w:rsidRDefault="00CF7196" w:rsidP="00D12BD2">
      <w:pPr>
        <w:jc w:val="both"/>
      </w:pPr>
      <w:r>
        <w:t xml:space="preserve">L’analyse des résultats de l’enquête concernant </w:t>
      </w:r>
      <w:r w:rsidRPr="00F56D84">
        <w:rPr>
          <w:szCs w:val="20"/>
        </w:rPr>
        <w:t xml:space="preserve">les problèmes </w:t>
      </w:r>
      <w:r>
        <w:rPr>
          <w:szCs w:val="20"/>
        </w:rPr>
        <w:t xml:space="preserve">qui n’incitent pas à </w:t>
      </w:r>
      <w:r w:rsidRPr="00F56D84">
        <w:rPr>
          <w:szCs w:val="20"/>
        </w:rPr>
        <w:t xml:space="preserve">l’entretien des drains </w:t>
      </w:r>
      <w:r>
        <w:rPr>
          <w:szCs w:val="20"/>
        </w:rPr>
        <w:t xml:space="preserve">montre sans ambiguïté que </w:t>
      </w:r>
      <w:r w:rsidR="001A52F4">
        <w:rPr>
          <w:szCs w:val="20"/>
        </w:rPr>
        <w:t>c’est d’abord le manque de coordination</w:t>
      </w:r>
      <w:r w:rsidR="00837303">
        <w:rPr>
          <w:szCs w:val="20"/>
        </w:rPr>
        <w:t>,</w:t>
      </w:r>
      <w:r w:rsidR="001A52F4">
        <w:rPr>
          <w:szCs w:val="20"/>
        </w:rPr>
        <w:t xml:space="preserve"> </w:t>
      </w:r>
      <w:r>
        <w:rPr>
          <w:szCs w:val="20"/>
        </w:rPr>
        <w:t xml:space="preserve">puis </w:t>
      </w:r>
      <w:r w:rsidR="001A52F4">
        <w:rPr>
          <w:szCs w:val="20"/>
        </w:rPr>
        <w:t xml:space="preserve">dans une moindre mesure </w:t>
      </w:r>
      <w:r>
        <w:rPr>
          <w:szCs w:val="20"/>
        </w:rPr>
        <w:t xml:space="preserve">le manque d’équipement adéquat </w:t>
      </w:r>
      <w:r w:rsidR="001A52F4">
        <w:rPr>
          <w:szCs w:val="20"/>
        </w:rPr>
        <w:t xml:space="preserve">qui </w:t>
      </w:r>
      <w:r>
        <w:rPr>
          <w:szCs w:val="20"/>
        </w:rPr>
        <w:t>sont le</w:t>
      </w:r>
      <w:r w:rsidR="001A52F4">
        <w:rPr>
          <w:szCs w:val="20"/>
        </w:rPr>
        <w:t>s</w:t>
      </w:r>
      <w:r>
        <w:rPr>
          <w:szCs w:val="20"/>
        </w:rPr>
        <w:t xml:space="preserve"> </w:t>
      </w:r>
      <w:r>
        <w:t>d</w:t>
      </w:r>
      <w:r w:rsidR="00A728E8">
        <w:t>eux obstacles majeurs (</w:t>
      </w:r>
      <w:r w:rsidR="00B44D40">
        <w:fldChar w:fldCharType="begin"/>
      </w:r>
      <w:r w:rsidR="00B44D40">
        <w:instrText xml:space="preserve"> REF _Ref476232592 \h  \* MERGEFORMAT </w:instrText>
      </w:r>
      <w:r w:rsidR="00B44D40">
        <w:fldChar w:fldCharType="separate"/>
      </w:r>
      <w:r w:rsidR="0045723F" w:rsidRPr="006976EE">
        <w:rPr>
          <w:rFonts w:cs="Times New Roman"/>
          <w:b/>
          <w:i/>
          <w:color w:val="000000" w:themeColor="text1"/>
          <w:szCs w:val="20"/>
        </w:rPr>
        <w:t>Tableau 2</w:t>
      </w:r>
      <w:r w:rsidR="00B44D40">
        <w:fldChar w:fldCharType="end"/>
      </w:r>
      <w:r w:rsidR="00A728E8" w:rsidRPr="006976EE">
        <w:rPr>
          <w:i/>
          <w:szCs w:val="20"/>
        </w:rPr>
        <w:t xml:space="preserve"> et </w:t>
      </w:r>
      <w:r w:rsidR="00B44D40">
        <w:fldChar w:fldCharType="begin"/>
      </w:r>
      <w:r w:rsidR="00B44D40">
        <w:instrText xml:space="preserve"> REF _Ref476232554 \h  \* MERGEFORMAT </w:instrText>
      </w:r>
      <w:r w:rsidR="00B44D40">
        <w:fldChar w:fldCharType="separate"/>
      </w:r>
      <w:r w:rsidR="0045723F" w:rsidRPr="006976EE">
        <w:rPr>
          <w:rFonts w:cs="Times New Roman"/>
          <w:b/>
          <w:i/>
          <w:szCs w:val="20"/>
        </w:rPr>
        <w:t>Figure 8</w:t>
      </w:r>
      <w:r w:rsidR="00B44D40">
        <w:fldChar w:fldCharType="end"/>
      </w:r>
      <w:r>
        <w:t xml:space="preserve">). </w:t>
      </w:r>
      <w:r w:rsidRPr="00CF7196">
        <w:rPr>
          <w:i/>
        </w:rPr>
        <w:t>L</w:t>
      </w:r>
      <w:r w:rsidR="00A728E8" w:rsidRPr="00A728E8">
        <w:rPr>
          <w:i/>
        </w:rPr>
        <w:t>e manque de coordination</w:t>
      </w:r>
      <w:r>
        <w:t xml:space="preserve"> mis en avant par les agriculteurs est cohérent avec le fait que le drain étant un ouvrage collectif, </w:t>
      </w:r>
      <w:r w:rsidR="00A728E8">
        <w:t xml:space="preserve">son entretien doit être collectif. </w:t>
      </w:r>
      <w:r w:rsidR="001A52F4">
        <w:t xml:space="preserve">Ce constat est conforme aux observations faites par des études antérieures. </w:t>
      </w:r>
      <w:r w:rsidR="00A728E8">
        <w:t>Selon Barbier et al.</w:t>
      </w:r>
      <w:r w:rsidR="00210100">
        <w:t xml:space="preserve"> </w:t>
      </w:r>
      <w:r w:rsidR="00B668CC">
        <w:fldChar w:fldCharType="begin"/>
      </w:r>
      <w:r w:rsidR="00210100">
        <w:instrText xml:space="preserve"> ADDIN EN.CITE &lt;EndNote&gt;&lt;Cite ExcludeAuth="1"&gt;&lt;Author&gt;Barbier&lt;/Author&gt;&lt;Year&gt;2011&lt;/Year&gt;&lt;RecNum&gt;313&lt;/RecNum&gt;&lt;DisplayText&gt;&lt;style font="Times New Roman" size="10"&gt;(2011)&lt;/style&gt;&lt;/DisplayText&gt;&lt;record&gt;&lt;rec-number&gt;313&lt;/rec-number&gt;&lt;foreign-keys&gt;&lt;key app="EN" db-id="9fwepsrswaze5fe2velxxsppptdpaz9f9s9z"&gt;313&lt;/key&gt;&lt;/foreign-keys&gt;&lt;ref-type name="Journal Article"&gt;17&lt;/ref-type&gt;&lt;contributors&gt;&lt;authors&gt;&lt;author&gt;Bruno Barbier&lt;/author&gt;&lt;author&gt;Hervé Ouedraogo&lt;/author&gt;&lt;author&gt;Youssouf Dembélé&lt;/author&gt;&lt;author&gt;Hamma Yacouba&lt;/author&gt;&lt;author&gt;Boubacar Barry&lt;/author&gt;&lt;author&gt;Jean-Yves Jamin&lt;/author&gt;&lt;/authors&gt;&lt;/contributors&gt;&lt;titles&gt;&lt;title&gt; L’agriculture irriguée dans le Sahel Ouest-Africain &lt;/title&gt;&lt;secondary-title&gt;Cahiers Agricultures&lt;/secondary-title&gt;&lt;/titles&gt;&lt;periodical&gt;&lt;full-title&gt;Cahiers agricultures&lt;/full-title&gt;&lt;/periodical&gt;&lt;pages&gt;24-33&lt;/pages&gt;&lt;volume&gt;20&lt;/volume&gt;&lt;number&gt;1&lt;/number&gt;&lt;dates&gt;&lt;year&gt;2011&lt;/year&gt;&lt;/dates&gt;&lt;urls&gt;&lt;/urls&gt;&lt;/record&gt;&lt;/Cite&gt;&lt;/EndNote&gt;</w:instrText>
      </w:r>
      <w:r w:rsidR="00B668CC">
        <w:fldChar w:fldCharType="separate"/>
      </w:r>
      <w:r w:rsidR="00210100" w:rsidRPr="00210100">
        <w:rPr>
          <w:rFonts w:cs="Times New Roman"/>
          <w:noProof/>
        </w:rPr>
        <w:t>(</w:t>
      </w:r>
      <w:hyperlink w:anchor="_ENREF_1" w:tooltip="Barbier, 2011 #313" w:history="1">
        <w:r w:rsidR="00210100" w:rsidRPr="00210100">
          <w:rPr>
            <w:rFonts w:cs="Times New Roman"/>
            <w:noProof/>
          </w:rPr>
          <w:t>2011</w:t>
        </w:r>
      </w:hyperlink>
      <w:r w:rsidR="00210100" w:rsidRPr="00210100">
        <w:rPr>
          <w:rFonts w:cs="Times New Roman"/>
          <w:noProof/>
        </w:rPr>
        <w:t>)</w:t>
      </w:r>
      <w:r w:rsidR="00B668CC">
        <w:fldChar w:fldCharType="end"/>
      </w:r>
      <w:r w:rsidR="00A728E8">
        <w:t>,</w:t>
      </w:r>
      <w:r w:rsidR="00210100">
        <w:t xml:space="preserve"> </w:t>
      </w:r>
      <w:proofErr w:type="gramStart"/>
      <w:r w:rsidR="00A728E8">
        <w:t>le</w:t>
      </w:r>
      <w:proofErr w:type="gramEnd"/>
      <w:r w:rsidR="00A728E8">
        <w:t xml:space="preserve"> manque d’expérience des irrigants en matière d’organisation des groupements d’irrigation, de distribution de l’eau et d’entretien des infrastructures, tel que les infrastructures de drainage, reste un frein </w:t>
      </w:r>
      <w:r w:rsidR="00837303">
        <w:t>important</w:t>
      </w:r>
      <w:r w:rsidR="00A728E8">
        <w:t xml:space="preserve">. </w:t>
      </w:r>
      <w:proofErr w:type="spellStart"/>
      <w:r w:rsidR="00A728E8">
        <w:t>Vandersypen</w:t>
      </w:r>
      <w:proofErr w:type="spellEnd"/>
      <w:r w:rsidR="00A728E8">
        <w:t xml:space="preserve"> et al. </w:t>
      </w:r>
      <w:r w:rsidR="00B668CC">
        <w:fldChar w:fldCharType="begin"/>
      </w:r>
      <w:r w:rsidR="00210100">
        <w:instrText xml:space="preserve"> ADDIN EN.CITE &lt;EndNote&gt;&lt;Cite ExcludeAuth="1"&gt;&lt;Author&gt;Vandersypen&lt;/Author&gt;&lt;Year&gt;2006&lt;/Year&gt;&lt;RecNum&gt;307&lt;/RecNum&gt;&lt;DisplayText&gt;&lt;style font="Times New Roman" size="10"&gt;(2006)&lt;/style&gt;&lt;/DisplayText&gt;&lt;record&gt;&lt;rec-number&gt;307&lt;/rec-number&gt;&lt;foreign-keys&gt;&lt;key app="EN" db-id="9fwepsrswaze5fe2velxxsppptdpaz9f9s9z"&gt;307&lt;/key&gt;&lt;/foreign-keys&gt;&lt;ref-type name="Journal Article"&gt;17&lt;/ref-type&gt;&lt;contributors&gt;&lt;authors&gt;&lt;author&gt;Klaartje Vandersypen&lt;/author&gt;&lt;author&gt;Keita ACT, &lt;/author&gt;&lt;author&gt;K Kaloga&lt;/author&gt;&lt;author&gt;Y Coulibaly&lt;/author&gt;&lt;author&gt;Dirk Raes&lt;/author&gt;&lt;author&gt;J Yves Jamin&lt;/author&gt;&lt;/authors&gt;&lt;/contributors&gt;&lt;titles&gt;&lt;title&gt;Sustainability of Farmers’ Organization of Water Management in the Office Du Niger Irrigation Scheme in Mali &lt;/title&gt;&lt;secondary-title&gt; Irrigation and Drainage Systems&lt;/secondary-title&gt;&lt;/titles&gt;&lt;pages&gt;51-60&lt;/pages&gt;&lt;volume&gt;55&lt;/volume&gt;&lt;number&gt;1&lt;/number&gt;&lt;dates&gt;&lt;year&gt;2006&lt;/year&gt;&lt;/dates&gt;&lt;urls&gt;&lt;/urls&gt;&lt;/record&gt;&lt;/Cite&gt;&lt;/EndNote&gt;</w:instrText>
      </w:r>
      <w:r w:rsidR="00B668CC">
        <w:fldChar w:fldCharType="separate"/>
      </w:r>
      <w:r w:rsidR="00210100" w:rsidRPr="00210100">
        <w:rPr>
          <w:rFonts w:cs="Times New Roman"/>
          <w:noProof/>
        </w:rPr>
        <w:t>(</w:t>
      </w:r>
      <w:hyperlink w:anchor="_ENREF_18" w:tooltip="Vandersypen, 2006 #307" w:history="1">
        <w:r w:rsidR="00210100" w:rsidRPr="00210100">
          <w:rPr>
            <w:rFonts w:cs="Times New Roman"/>
            <w:noProof/>
          </w:rPr>
          <w:t>2006</w:t>
        </w:r>
      </w:hyperlink>
      <w:r w:rsidR="00210100" w:rsidRPr="00210100">
        <w:rPr>
          <w:rFonts w:cs="Times New Roman"/>
          <w:noProof/>
        </w:rPr>
        <w:t>)</w:t>
      </w:r>
      <w:r w:rsidR="00B668CC">
        <w:fldChar w:fldCharType="end"/>
      </w:r>
      <w:r w:rsidR="00210100">
        <w:t xml:space="preserve"> ajoutent que </w:t>
      </w:r>
      <w:r w:rsidR="00A728E8">
        <w:t xml:space="preserve">l’absence d’une bonne coordination sur la partie tertiaire du réseau aboutit à une négligence de l’entretien. </w:t>
      </w:r>
      <w:r w:rsidR="00D12BD2">
        <w:t xml:space="preserve">Le </w:t>
      </w:r>
      <w:r w:rsidR="00D12BD2" w:rsidRPr="00D12BD2">
        <w:rPr>
          <w:i/>
        </w:rPr>
        <w:t>manque d’équipements adéquats</w:t>
      </w:r>
      <w:r w:rsidR="00D12BD2">
        <w:t xml:space="preserve"> est mesuré comme tout aussi démotivant à l’entretien des drains. Les exploitants estiment que les drains tertiaires sont de grande ta</w:t>
      </w:r>
      <w:r w:rsidR="001A52F4">
        <w:t xml:space="preserve">ille, et qu’il faudrait des </w:t>
      </w:r>
      <w:r w:rsidR="00D12BD2">
        <w:t xml:space="preserve">équipements </w:t>
      </w:r>
      <w:r w:rsidR="001A52F4">
        <w:t xml:space="preserve">appropriés </w:t>
      </w:r>
      <w:r w:rsidR="00D12BD2">
        <w:t>pour s’engager dans leur nettoyage</w:t>
      </w:r>
      <w:r w:rsidR="001A52F4">
        <w:t xml:space="preserve"> (</w:t>
      </w:r>
      <w:r w:rsidR="00B44D40">
        <w:fldChar w:fldCharType="begin"/>
      </w:r>
      <w:r w:rsidR="00B44D40">
        <w:instrText xml:space="preserve"> REF _Ref476232554 \h  \* MERGEFORMAT </w:instrText>
      </w:r>
      <w:r w:rsidR="00B44D40">
        <w:fldChar w:fldCharType="separate"/>
      </w:r>
      <w:r w:rsidR="001A52F4" w:rsidRPr="006976EE">
        <w:rPr>
          <w:b/>
          <w:i/>
          <w:szCs w:val="20"/>
        </w:rPr>
        <w:t>Figure 8</w:t>
      </w:r>
      <w:r w:rsidR="00B44D40">
        <w:fldChar w:fldCharType="end"/>
      </w:r>
      <w:r w:rsidR="001A52F4">
        <w:t>)</w:t>
      </w:r>
      <w:r w:rsidR="00D12BD2">
        <w:t xml:space="preserve">. Par contre, le </w:t>
      </w:r>
      <w:r w:rsidR="00894BE2">
        <w:rPr>
          <w:i/>
        </w:rPr>
        <w:t>manque de main</w:t>
      </w:r>
      <w:r w:rsidR="007E7D1E">
        <w:rPr>
          <w:i/>
        </w:rPr>
        <w:t xml:space="preserve"> d’œuvre</w:t>
      </w:r>
      <w:r w:rsidR="00D12BD2">
        <w:t xml:space="preserve"> n’est pas un frein à l’ent</w:t>
      </w:r>
      <w:r w:rsidR="007E7D1E">
        <w:t>retien des drains, car selon les agriculteurs enquêtés</w:t>
      </w:r>
      <w:r w:rsidR="00D12BD2">
        <w:t xml:space="preserve">, </w:t>
      </w:r>
      <w:r w:rsidR="00894BE2">
        <w:t>« </w:t>
      </w:r>
      <w:r w:rsidR="00D12BD2">
        <w:t>tout agriculteur en bonne santé, a toujours la capacité de travailler</w:t>
      </w:r>
      <w:r w:rsidR="00894BE2">
        <w:t> »</w:t>
      </w:r>
      <w:r w:rsidR="00D12BD2">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892538" w:rsidTr="00A728E8">
        <w:tc>
          <w:tcPr>
            <w:tcW w:w="4643" w:type="dxa"/>
          </w:tcPr>
          <w:p w:rsidR="00892538" w:rsidRPr="00F56D84" w:rsidRDefault="00892538" w:rsidP="005152B8">
            <w:pPr>
              <w:pStyle w:val="Lgende"/>
              <w:rPr>
                <w:rFonts w:ascii="Times New Roman" w:hAnsi="Times New Roman"/>
                <w:sz w:val="20"/>
                <w:szCs w:val="20"/>
                <w:lang w:val="en-US"/>
              </w:rPr>
            </w:pPr>
            <w:bookmarkStart w:id="12" w:name="_Ref476232592"/>
            <w:bookmarkStart w:id="13" w:name="_Toc473392671"/>
            <w:r w:rsidRPr="00F56D84">
              <w:rPr>
                <w:rFonts w:ascii="Times New Roman" w:hAnsi="Times New Roman"/>
                <w:sz w:val="20"/>
                <w:szCs w:val="20"/>
                <w:lang w:val="en-US"/>
              </w:rPr>
              <w:t xml:space="preserve">Tableau </w:t>
            </w:r>
            <w:r w:rsidR="00B668CC" w:rsidRPr="00F56D84">
              <w:rPr>
                <w:sz w:val="20"/>
                <w:szCs w:val="20"/>
              </w:rPr>
              <w:fldChar w:fldCharType="begin"/>
            </w:r>
            <w:r w:rsidRPr="00F56D84">
              <w:rPr>
                <w:rFonts w:ascii="Times New Roman" w:hAnsi="Times New Roman"/>
                <w:sz w:val="20"/>
                <w:szCs w:val="20"/>
                <w:lang w:val="en-US"/>
              </w:rPr>
              <w:instrText xml:space="preserve"> SEQ Tableau \* ARABIC </w:instrText>
            </w:r>
            <w:r w:rsidR="00B668CC" w:rsidRPr="00F56D84">
              <w:rPr>
                <w:sz w:val="20"/>
                <w:szCs w:val="20"/>
              </w:rPr>
              <w:fldChar w:fldCharType="separate"/>
            </w:r>
            <w:r w:rsidR="0045723F" w:rsidRPr="00F56D84">
              <w:rPr>
                <w:rFonts w:ascii="Times New Roman" w:hAnsi="Times New Roman"/>
                <w:noProof/>
                <w:sz w:val="20"/>
                <w:szCs w:val="20"/>
                <w:lang w:val="en-US"/>
              </w:rPr>
              <w:t>2</w:t>
            </w:r>
            <w:r w:rsidR="00B668CC" w:rsidRPr="00F56D84">
              <w:rPr>
                <w:sz w:val="20"/>
                <w:szCs w:val="20"/>
              </w:rPr>
              <w:fldChar w:fldCharType="end"/>
            </w:r>
            <w:bookmarkEnd w:id="12"/>
            <w:r w:rsidRPr="00F56D84">
              <w:rPr>
                <w:rFonts w:ascii="Times New Roman" w:hAnsi="Times New Roman"/>
                <w:sz w:val="20"/>
                <w:szCs w:val="20"/>
                <w:lang w:val="en-US"/>
              </w:rPr>
              <w:t>: One-way ANOVA pour QTE 7.1</w:t>
            </w:r>
            <w:bookmarkEnd w:id="13"/>
          </w:p>
          <w:tbl>
            <w:tblPr>
              <w:tblStyle w:val="PlainTable2"/>
              <w:tblW w:w="0" w:type="auto"/>
              <w:jc w:val="center"/>
              <w:tblBorders>
                <w:top w:val="single" w:sz="12" w:space="0" w:color="auto"/>
                <w:bottom w:val="single" w:sz="12" w:space="0" w:color="auto"/>
                <w:insideH w:val="single" w:sz="4" w:space="0" w:color="auto"/>
                <w:insideV w:val="single" w:sz="12" w:space="0" w:color="auto"/>
              </w:tblBorders>
              <w:tblLook w:val="04A0" w:firstRow="1" w:lastRow="0" w:firstColumn="1" w:lastColumn="0" w:noHBand="0" w:noVBand="1"/>
            </w:tblPr>
            <w:tblGrid>
              <w:gridCol w:w="4319"/>
            </w:tblGrid>
            <w:tr w:rsidR="00892538" w:rsidRPr="00397C7B" w:rsidTr="00697B9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9" w:type="dxa"/>
                  <w:tcBorders>
                    <w:bottom w:val="none" w:sz="0" w:space="0" w:color="auto"/>
                  </w:tcBorders>
                </w:tcPr>
                <w:p w:rsidR="00892538" w:rsidRPr="00A728E8" w:rsidRDefault="00892538" w:rsidP="00697B9C">
                  <w:pPr>
                    <w:autoSpaceDE w:val="0"/>
                    <w:autoSpaceDN w:val="0"/>
                    <w:adjustRightInd w:val="0"/>
                    <w:rPr>
                      <w:rFonts w:cs="Times New Roman"/>
                      <w:b w:val="0"/>
                      <w:sz w:val="16"/>
                      <w:szCs w:val="18"/>
                      <w:lang w:val="en-US"/>
                    </w:rPr>
                  </w:pPr>
                  <w:r w:rsidRPr="00A728E8">
                    <w:rPr>
                      <w:rFonts w:cs="Times New Roman"/>
                      <w:b w:val="0"/>
                      <w:sz w:val="16"/>
                      <w:szCs w:val="18"/>
                      <w:lang w:val="en-US"/>
                    </w:rPr>
                    <w:t xml:space="preserve">Source    DF   </w:t>
                  </w:r>
                  <w:proofErr w:type="spellStart"/>
                  <w:r w:rsidRPr="00A728E8">
                    <w:rPr>
                      <w:rFonts w:cs="Times New Roman"/>
                      <w:b w:val="0"/>
                      <w:sz w:val="16"/>
                      <w:szCs w:val="18"/>
                      <w:lang w:val="en-US"/>
                    </w:rPr>
                    <w:t>Adj</w:t>
                  </w:r>
                  <w:proofErr w:type="spellEnd"/>
                  <w:r w:rsidRPr="00A728E8">
                    <w:rPr>
                      <w:rFonts w:cs="Times New Roman"/>
                      <w:b w:val="0"/>
                      <w:sz w:val="16"/>
                      <w:szCs w:val="18"/>
                      <w:lang w:val="en-US"/>
                    </w:rPr>
                    <w:t xml:space="preserve"> SS   </w:t>
                  </w:r>
                  <w:proofErr w:type="spellStart"/>
                  <w:r w:rsidRPr="00A728E8">
                    <w:rPr>
                      <w:rFonts w:cs="Times New Roman"/>
                      <w:b w:val="0"/>
                      <w:sz w:val="16"/>
                      <w:szCs w:val="18"/>
                      <w:lang w:val="en-US"/>
                    </w:rPr>
                    <w:t>Adj</w:t>
                  </w:r>
                  <w:proofErr w:type="spellEnd"/>
                  <w:r w:rsidRPr="00A728E8">
                    <w:rPr>
                      <w:rFonts w:cs="Times New Roman"/>
                      <w:b w:val="0"/>
                      <w:sz w:val="16"/>
                      <w:szCs w:val="18"/>
                      <w:lang w:val="en-US"/>
                    </w:rPr>
                    <w:t xml:space="preserve"> MS   F-Value  P-Value</w:t>
                  </w:r>
                </w:p>
              </w:tc>
            </w:tr>
            <w:tr w:rsidR="00892538" w:rsidRPr="00A728E8" w:rsidTr="00697B9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9" w:type="dxa"/>
                  <w:tcBorders>
                    <w:top w:val="none" w:sz="0" w:space="0" w:color="auto"/>
                    <w:bottom w:val="none" w:sz="0" w:space="0" w:color="auto"/>
                  </w:tcBorders>
                </w:tcPr>
                <w:p w:rsidR="00892538" w:rsidRPr="00A728E8" w:rsidRDefault="00892538" w:rsidP="00697B9C">
                  <w:pPr>
                    <w:autoSpaceDE w:val="0"/>
                    <w:autoSpaceDN w:val="0"/>
                    <w:adjustRightInd w:val="0"/>
                    <w:rPr>
                      <w:rFonts w:cs="Times New Roman"/>
                      <w:b w:val="0"/>
                      <w:sz w:val="16"/>
                      <w:szCs w:val="18"/>
                    </w:rPr>
                  </w:pPr>
                  <w:r w:rsidRPr="00A728E8">
                    <w:rPr>
                      <w:rFonts w:cs="Times New Roman"/>
                      <w:b w:val="0"/>
                      <w:sz w:val="16"/>
                      <w:szCs w:val="18"/>
                    </w:rPr>
                    <w:t>Factor      2      3465     1732.53     44.95       0.000</w:t>
                  </w:r>
                </w:p>
                <w:p w:rsidR="00892538" w:rsidRPr="00A728E8" w:rsidRDefault="00892538" w:rsidP="00697B9C">
                  <w:pPr>
                    <w:autoSpaceDE w:val="0"/>
                    <w:autoSpaceDN w:val="0"/>
                    <w:adjustRightInd w:val="0"/>
                    <w:rPr>
                      <w:rFonts w:cs="Times New Roman"/>
                      <w:b w:val="0"/>
                      <w:sz w:val="16"/>
                      <w:szCs w:val="18"/>
                    </w:rPr>
                  </w:pPr>
                  <w:proofErr w:type="spellStart"/>
                  <w:r w:rsidRPr="00A728E8">
                    <w:rPr>
                      <w:rFonts w:cs="Times New Roman"/>
                      <w:b w:val="0"/>
                      <w:sz w:val="16"/>
                      <w:szCs w:val="18"/>
                    </w:rPr>
                    <w:t>Error</w:t>
                  </w:r>
                  <w:proofErr w:type="spellEnd"/>
                  <w:r w:rsidRPr="00A728E8">
                    <w:rPr>
                      <w:rFonts w:cs="Times New Roman"/>
                      <w:b w:val="0"/>
                      <w:sz w:val="16"/>
                      <w:szCs w:val="18"/>
                    </w:rPr>
                    <w:t xml:space="preserve">    141      5435         38.55</w:t>
                  </w:r>
                </w:p>
                <w:p w:rsidR="00892538" w:rsidRPr="00A728E8" w:rsidRDefault="00892538" w:rsidP="00697B9C">
                  <w:pPr>
                    <w:autoSpaceDE w:val="0"/>
                    <w:autoSpaceDN w:val="0"/>
                    <w:adjustRightInd w:val="0"/>
                    <w:rPr>
                      <w:rFonts w:cs="Times New Roman"/>
                      <w:b w:val="0"/>
                      <w:sz w:val="16"/>
                      <w:szCs w:val="18"/>
                    </w:rPr>
                  </w:pPr>
                  <w:r w:rsidRPr="00A728E8">
                    <w:rPr>
                      <w:rFonts w:cs="Times New Roman"/>
                      <w:b w:val="0"/>
                      <w:sz w:val="16"/>
                      <w:szCs w:val="18"/>
                    </w:rPr>
                    <w:t>Total    143      8900</w:t>
                  </w:r>
                </w:p>
              </w:tc>
            </w:tr>
          </w:tbl>
          <w:p w:rsidR="008A33DF" w:rsidRDefault="008A33DF" w:rsidP="005152B8">
            <w:pPr>
              <w:pStyle w:val="Lgende"/>
            </w:pPr>
          </w:p>
          <w:tbl>
            <w:tblPr>
              <w:tblStyle w:val="Grilledutableau"/>
              <w:tblW w:w="0" w:type="auto"/>
              <w:tblLook w:val="04A0" w:firstRow="1" w:lastRow="0" w:firstColumn="1" w:lastColumn="0" w:noHBand="0" w:noVBand="1"/>
            </w:tblPr>
            <w:tblGrid>
              <w:gridCol w:w="4412"/>
            </w:tblGrid>
            <w:tr w:rsidR="008A33DF" w:rsidTr="008A33DF">
              <w:tc>
                <w:tcPr>
                  <w:tcW w:w="4412" w:type="dxa"/>
                </w:tcPr>
                <w:p w:rsidR="008A33DF" w:rsidRPr="00B04CBD" w:rsidRDefault="00B668CC" w:rsidP="005152B8">
                  <w:pPr>
                    <w:keepNext/>
                    <w:keepLines/>
                    <w:spacing w:before="480" w:line="276" w:lineRule="auto"/>
                    <w:jc w:val="left"/>
                    <w:outlineLvl w:val="0"/>
                    <w:rPr>
                      <w:rFonts w:ascii="Times New Roman" w:hAnsi="Times New Roman"/>
                      <w:sz w:val="14"/>
                      <w:szCs w:val="14"/>
                    </w:rPr>
                  </w:pPr>
                  <w:r>
                    <w:rPr>
                      <w:sz w:val="14"/>
                      <w:szCs w:val="14"/>
                    </w:rPr>
                    <w:t>Les moyennes des scores attribuées aux 3 facteurs – manque de main d’œuvre, manque d’équipement et manque de coordination – sont significativement différentes (p&lt;5%).</w:t>
                  </w:r>
                </w:p>
              </w:tc>
            </w:tr>
          </w:tbl>
          <w:p w:rsidR="008A33DF" w:rsidRDefault="008A33DF" w:rsidP="005152B8">
            <w:pPr>
              <w:pStyle w:val="Lgende"/>
            </w:pPr>
          </w:p>
          <w:p w:rsidR="00892538" w:rsidRPr="00D12BD2" w:rsidRDefault="00892538" w:rsidP="00892538">
            <w:pPr>
              <w:rPr>
                <w:rFonts w:ascii="Times New Roman" w:hAnsi="Times New Roman"/>
                <w:sz w:val="16"/>
              </w:rPr>
            </w:pPr>
          </w:p>
          <w:p w:rsidR="00892538" w:rsidRPr="00D12BD2" w:rsidRDefault="00892538" w:rsidP="00892538">
            <w:pPr>
              <w:rPr>
                <w:rFonts w:ascii="Times New Roman" w:hAnsi="Times New Roman"/>
              </w:rPr>
            </w:pPr>
          </w:p>
          <w:p w:rsidR="00892538" w:rsidRPr="00D12BD2" w:rsidRDefault="00892538" w:rsidP="00892538">
            <w:pPr>
              <w:rPr>
                <w:rFonts w:ascii="Times New Roman" w:hAnsi="Times New Roman"/>
              </w:rPr>
            </w:pPr>
          </w:p>
          <w:p w:rsidR="00892538" w:rsidRPr="00D12BD2" w:rsidRDefault="00892538" w:rsidP="00892538">
            <w:pPr>
              <w:rPr>
                <w:rFonts w:ascii="Times New Roman" w:hAnsi="Times New Roman"/>
              </w:rPr>
            </w:pPr>
          </w:p>
          <w:p w:rsidR="00892538" w:rsidRDefault="00892538" w:rsidP="00892538"/>
        </w:tc>
        <w:tc>
          <w:tcPr>
            <w:tcW w:w="4643" w:type="dxa"/>
          </w:tcPr>
          <w:p w:rsidR="00892538" w:rsidRDefault="00892538" w:rsidP="00892538">
            <w:r w:rsidRPr="00892538">
              <w:rPr>
                <w:noProof/>
                <w:lang w:eastAsia="fr-FR"/>
              </w:rPr>
              <w:drawing>
                <wp:inline distT="0" distB="0" distL="0" distR="0" wp14:anchorId="09721528" wp14:editId="78A25780">
                  <wp:extent cx="2600555" cy="1733703"/>
                  <wp:effectExtent l="19050" t="0" r="9295" b="0"/>
                  <wp:docPr id="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051" cy="1736034"/>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412"/>
            </w:tblGrid>
            <w:tr w:rsidR="005152B8" w:rsidTr="005152B8">
              <w:tc>
                <w:tcPr>
                  <w:tcW w:w="4412" w:type="dxa"/>
                </w:tcPr>
                <w:p w:rsidR="005152B8" w:rsidRPr="00B04CBD" w:rsidRDefault="00B668CC" w:rsidP="005152B8">
                  <w:pPr>
                    <w:spacing w:after="200" w:line="276" w:lineRule="auto"/>
                    <w:jc w:val="left"/>
                    <w:rPr>
                      <w:rFonts w:ascii="Times New Roman" w:hAnsi="Times New Roman"/>
                      <w:b/>
                      <w:sz w:val="14"/>
                      <w:szCs w:val="14"/>
                    </w:rPr>
                  </w:pPr>
                  <w:bookmarkStart w:id="14" w:name="_Ref476232554"/>
                  <w:r>
                    <w:rPr>
                      <w:sz w:val="14"/>
                      <w:szCs w:val="14"/>
                    </w:rPr>
                    <w:t>Le manque de coordination et le manque d’équipement sont perçus comme les facteurs clés formant obstacle à l’entretien des drains.</w:t>
                  </w:r>
                </w:p>
              </w:tc>
            </w:tr>
          </w:tbl>
          <w:p w:rsidR="00892538" w:rsidRPr="00F56D84" w:rsidRDefault="00892538" w:rsidP="005152B8">
            <w:pPr>
              <w:pStyle w:val="Lgende"/>
              <w:rPr>
                <w:rFonts w:ascii="Times New Roman" w:hAnsi="Times New Roman"/>
                <w:sz w:val="20"/>
                <w:szCs w:val="20"/>
              </w:rPr>
            </w:pPr>
            <w:r w:rsidRPr="00F56D84">
              <w:rPr>
                <w:rFonts w:ascii="Times New Roman" w:hAnsi="Times New Roman"/>
                <w:sz w:val="20"/>
                <w:szCs w:val="20"/>
              </w:rPr>
              <w:t xml:space="preserve">Figure </w:t>
            </w:r>
            <w:r w:rsidR="00B668CC" w:rsidRPr="00F56D84">
              <w:rPr>
                <w:sz w:val="20"/>
                <w:szCs w:val="20"/>
              </w:rPr>
              <w:fldChar w:fldCharType="begin"/>
            </w:r>
            <w:r w:rsidRPr="00F56D84">
              <w:rPr>
                <w:rFonts w:ascii="Times New Roman" w:hAnsi="Times New Roman"/>
                <w:sz w:val="20"/>
                <w:szCs w:val="20"/>
              </w:rPr>
              <w:instrText xml:space="preserve"> SEQ Figure \* ARABIC </w:instrText>
            </w:r>
            <w:r w:rsidR="00B668CC" w:rsidRPr="00F56D84">
              <w:rPr>
                <w:sz w:val="20"/>
                <w:szCs w:val="20"/>
              </w:rPr>
              <w:fldChar w:fldCharType="separate"/>
            </w:r>
            <w:r w:rsidR="0045723F" w:rsidRPr="00F56D84">
              <w:rPr>
                <w:rFonts w:ascii="Times New Roman" w:hAnsi="Times New Roman"/>
                <w:sz w:val="20"/>
                <w:szCs w:val="20"/>
              </w:rPr>
              <w:t>8</w:t>
            </w:r>
            <w:r w:rsidR="00B668CC" w:rsidRPr="00F56D84">
              <w:rPr>
                <w:sz w:val="20"/>
                <w:szCs w:val="20"/>
              </w:rPr>
              <w:fldChar w:fldCharType="end"/>
            </w:r>
            <w:bookmarkEnd w:id="14"/>
            <w:r w:rsidRPr="00F56D84">
              <w:rPr>
                <w:rFonts w:ascii="Times New Roman" w:hAnsi="Times New Roman"/>
                <w:sz w:val="20"/>
                <w:szCs w:val="20"/>
              </w:rPr>
              <w:t xml:space="preserve"> : Parmi les problèmes ci-dessus, lesquels vous démotivent pour </w:t>
            </w:r>
            <w:r w:rsidR="005152B8" w:rsidRPr="00F56D84">
              <w:rPr>
                <w:rFonts w:ascii="Times New Roman" w:hAnsi="Times New Roman"/>
                <w:sz w:val="20"/>
                <w:szCs w:val="20"/>
              </w:rPr>
              <w:t>l’entretien des drains (QTE7.1)</w:t>
            </w:r>
          </w:p>
        </w:tc>
      </w:tr>
    </w:tbl>
    <w:p w:rsidR="0042057E" w:rsidRDefault="00A728E8" w:rsidP="00C42F8D">
      <w:pPr>
        <w:pStyle w:val="Titre2"/>
      </w:pPr>
      <w:r>
        <w:lastRenderedPageBreak/>
        <w:t>Les thèmes de formation les plus appropriées</w:t>
      </w:r>
    </w:p>
    <w:p w:rsidR="00EE1A05" w:rsidRDefault="000461FD" w:rsidP="008A33DF">
      <w:pPr>
        <w:autoSpaceDE w:val="0"/>
        <w:autoSpaceDN w:val="0"/>
        <w:adjustRightInd w:val="0"/>
        <w:spacing w:before="240"/>
        <w:jc w:val="both"/>
      </w:pPr>
      <w:r>
        <w:rPr>
          <w:szCs w:val="18"/>
        </w:rPr>
        <w:t>Concernant les besoins de formation abordés par les</w:t>
      </w:r>
      <w:r w:rsidR="00837303">
        <w:rPr>
          <w:szCs w:val="18"/>
        </w:rPr>
        <w:t xml:space="preserve"> deux</w:t>
      </w:r>
      <w:r>
        <w:rPr>
          <w:szCs w:val="18"/>
        </w:rPr>
        <w:t xml:space="preserve"> thèmes de formation « à l’utilisation des </w:t>
      </w:r>
      <w:r w:rsidR="00D615BB">
        <w:rPr>
          <w:szCs w:val="18"/>
        </w:rPr>
        <w:t>équipement</w:t>
      </w:r>
      <w:r>
        <w:rPr>
          <w:szCs w:val="18"/>
        </w:rPr>
        <w:t>s d’entretien » et « à l’organisation des travaux  d</w:t>
      </w:r>
      <w:r w:rsidR="00D615BB">
        <w:rPr>
          <w:szCs w:val="18"/>
        </w:rPr>
        <w:t>’entretien</w:t>
      </w:r>
      <w:r>
        <w:rPr>
          <w:szCs w:val="18"/>
        </w:rPr>
        <w:t> », le second est perçu par les agriculteurs comme</w:t>
      </w:r>
      <w:r w:rsidR="00D615BB">
        <w:rPr>
          <w:szCs w:val="18"/>
        </w:rPr>
        <w:t xml:space="preserve"> </w:t>
      </w:r>
      <w:r>
        <w:rPr>
          <w:i/>
        </w:rPr>
        <w:t>le</w:t>
      </w:r>
      <w:r w:rsidR="00D615BB">
        <w:rPr>
          <w:i/>
        </w:rPr>
        <w:t xml:space="preserve"> </w:t>
      </w:r>
      <w:r w:rsidR="00EE1A05" w:rsidRPr="00EE1A05">
        <w:rPr>
          <w:i/>
        </w:rPr>
        <w:t>plus utile</w:t>
      </w:r>
      <w:r w:rsidR="00EE1A05">
        <w:t xml:space="preserve"> </w:t>
      </w:r>
      <w:r w:rsidR="007E7D1E">
        <w:t>(</w:t>
      </w:r>
      <w:r w:rsidR="00B44D40">
        <w:fldChar w:fldCharType="begin"/>
      </w:r>
      <w:r w:rsidR="00B44D40">
        <w:instrText xml:space="preserve"> REF _Ref480350859 \h  \* MERGEFORMAT </w:instrText>
      </w:r>
      <w:r w:rsidR="00B44D40">
        <w:fldChar w:fldCharType="separate"/>
      </w:r>
      <w:r w:rsidR="007E7D1E" w:rsidRPr="007E7D1E">
        <w:rPr>
          <w:b/>
          <w:i/>
        </w:rPr>
        <w:t>Tableau 3</w:t>
      </w:r>
      <w:r w:rsidR="00B44D40">
        <w:fldChar w:fldCharType="end"/>
      </w:r>
      <w:r w:rsidR="007E7D1E">
        <w:t>)</w:t>
      </w:r>
      <w:r w:rsidR="00EE1A05">
        <w:t xml:space="preserve">. Selon les observations des </w:t>
      </w:r>
      <w:r w:rsidR="00E1670A">
        <w:t>exploitants</w:t>
      </w:r>
      <w:r w:rsidR="00EE1A05">
        <w:t>, le « savoir organiser » est très importa</w:t>
      </w:r>
      <w:r>
        <w:t xml:space="preserve">nt dans toute activité dans la mesure où il permet de mieux organiser le travail </w:t>
      </w:r>
      <w:r w:rsidR="00EE1A05">
        <w:t xml:space="preserve"> à savoir</w:t>
      </w:r>
      <w:r>
        <w:t>,  déterminer le</w:t>
      </w:r>
      <w:r w:rsidR="00EE1A05">
        <w:t xml:space="preserve"> matériel à utiliser et </w:t>
      </w:r>
      <w:r>
        <w:t xml:space="preserve">programmer </w:t>
      </w:r>
      <w:r w:rsidR="00EE1A05">
        <w:t>les différentes étapes de l’entretien.</w:t>
      </w:r>
    </w:p>
    <w:p w:rsidR="008A33DF" w:rsidRPr="003D4A4B" w:rsidRDefault="008A33DF" w:rsidP="005152B8">
      <w:pPr>
        <w:pStyle w:val="Lgende"/>
      </w:pPr>
      <w:bookmarkStart w:id="15" w:name="_Ref480350859"/>
      <w:bookmarkStart w:id="16" w:name="_Toc473014520"/>
      <w:r w:rsidRPr="003D4A4B">
        <w:rPr>
          <w:b/>
        </w:rPr>
        <w:t xml:space="preserve">Tableau </w:t>
      </w:r>
      <w:r w:rsidR="00B668CC" w:rsidRPr="003D4A4B">
        <w:rPr>
          <w:b/>
        </w:rPr>
        <w:fldChar w:fldCharType="begin"/>
      </w:r>
      <w:r w:rsidRPr="003D4A4B">
        <w:rPr>
          <w:b/>
        </w:rPr>
        <w:instrText xml:space="preserve"> SEQ Tableau \* ARABIC </w:instrText>
      </w:r>
      <w:r w:rsidR="00B668CC" w:rsidRPr="003D4A4B">
        <w:rPr>
          <w:b/>
        </w:rPr>
        <w:fldChar w:fldCharType="separate"/>
      </w:r>
      <w:r w:rsidRPr="003D4A4B">
        <w:rPr>
          <w:b/>
          <w:noProof/>
        </w:rPr>
        <w:t>3</w:t>
      </w:r>
      <w:r w:rsidR="00B668CC" w:rsidRPr="003D4A4B">
        <w:rPr>
          <w:b/>
          <w:noProof/>
        </w:rPr>
        <w:fldChar w:fldCharType="end"/>
      </w:r>
      <w:bookmarkEnd w:id="15"/>
      <w:r w:rsidRPr="003D4A4B">
        <w:t> : Test de Mann-Whitney du QTE8 des strates PO et PR</w:t>
      </w:r>
      <w:bookmarkEnd w:id="16"/>
    </w:p>
    <w:tbl>
      <w:tblPr>
        <w:tblStyle w:val="Tableauliste3"/>
        <w:tblW w:w="0" w:type="auto"/>
        <w:jc w:val="center"/>
        <w:tblInd w:w="403" w:type="dxa"/>
        <w:tblLook w:val="04A0" w:firstRow="1" w:lastRow="0" w:firstColumn="1" w:lastColumn="0" w:noHBand="0" w:noVBand="1"/>
      </w:tblPr>
      <w:tblGrid>
        <w:gridCol w:w="5092"/>
        <w:gridCol w:w="992"/>
        <w:gridCol w:w="1874"/>
      </w:tblGrid>
      <w:tr w:rsidR="008A33DF" w:rsidRPr="003D4A4B" w:rsidTr="00733610">
        <w:trPr>
          <w:cnfStyle w:val="100000000000" w:firstRow="1" w:lastRow="0" w:firstColumn="0" w:lastColumn="0" w:oddVBand="0" w:evenVBand="0" w:oddHBand="0" w:evenHBand="0" w:firstRowFirstColumn="0" w:firstRowLastColumn="0" w:lastRowFirstColumn="0" w:lastRowLastColumn="0"/>
          <w:trHeight w:val="237"/>
          <w:jc w:val="center"/>
        </w:trPr>
        <w:tc>
          <w:tcPr>
            <w:tcW w:w="5092" w:type="dxa"/>
          </w:tcPr>
          <w:p w:rsidR="008A33DF" w:rsidRPr="003D4A4B" w:rsidRDefault="008A33DF" w:rsidP="00733610">
            <w:pPr>
              <w:widowControl/>
              <w:autoSpaceDE w:val="0"/>
              <w:autoSpaceDN w:val="0"/>
              <w:adjustRightInd w:val="0"/>
              <w:spacing w:line="240" w:lineRule="auto"/>
              <w:jc w:val="left"/>
              <w:rPr>
                <w:color w:val="auto"/>
              </w:rPr>
            </w:pPr>
            <w:r w:rsidRPr="003D4A4B">
              <w:rPr>
                <w:color w:val="auto"/>
              </w:rPr>
              <w:t>Thèmes de formation</w:t>
            </w:r>
          </w:p>
        </w:tc>
        <w:tc>
          <w:tcPr>
            <w:tcW w:w="992" w:type="dxa"/>
          </w:tcPr>
          <w:p w:rsidR="008A33DF" w:rsidRPr="003D4A4B" w:rsidRDefault="008A33DF" w:rsidP="00733610">
            <w:pPr>
              <w:spacing w:line="240" w:lineRule="auto"/>
              <w:jc w:val="center"/>
              <w:rPr>
                <w:color w:val="auto"/>
              </w:rPr>
            </w:pPr>
            <w:r w:rsidRPr="003D4A4B">
              <w:rPr>
                <w:color w:val="auto"/>
              </w:rPr>
              <w:t>N</w:t>
            </w:r>
          </w:p>
        </w:tc>
        <w:tc>
          <w:tcPr>
            <w:tcW w:w="1874" w:type="dxa"/>
          </w:tcPr>
          <w:p w:rsidR="008A33DF" w:rsidRPr="003D4A4B" w:rsidRDefault="008A33DF" w:rsidP="00733610">
            <w:pPr>
              <w:spacing w:line="240" w:lineRule="auto"/>
              <w:jc w:val="center"/>
              <w:rPr>
                <w:color w:val="auto"/>
              </w:rPr>
            </w:pPr>
            <w:r w:rsidRPr="003D4A4B">
              <w:rPr>
                <w:color w:val="auto"/>
              </w:rPr>
              <w:t xml:space="preserve">Médiane </w:t>
            </w:r>
          </w:p>
        </w:tc>
      </w:tr>
      <w:tr w:rsidR="008A33DF" w:rsidRPr="003D4A4B" w:rsidTr="00733610">
        <w:trPr>
          <w:trHeight w:val="241"/>
          <w:jc w:val="center"/>
        </w:trPr>
        <w:tc>
          <w:tcPr>
            <w:tcW w:w="5092" w:type="dxa"/>
          </w:tcPr>
          <w:p w:rsidR="008A33DF" w:rsidRPr="003D4A4B" w:rsidRDefault="008A33DF" w:rsidP="00733610">
            <w:pPr>
              <w:widowControl/>
              <w:autoSpaceDE w:val="0"/>
              <w:autoSpaceDN w:val="0"/>
              <w:adjustRightInd w:val="0"/>
              <w:spacing w:line="240" w:lineRule="auto"/>
              <w:jc w:val="left"/>
            </w:pPr>
            <w:r w:rsidRPr="003D4A4B">
              <w:t>Formation sur les petits équipements d’entretien </w:t>
            </w:r>
          </w:p>
        </w:tc>
        <w:tc>
          <w:tcPr>
            <w:tcW w:w="992" w:type="dxa"/>
          </w:tcPr>
          <w:p w:rsidR="008A33DF" w:rsidRPr="003D4A4B" w:rsidRDefault="008A33DF" w:rsidP="00733610">
            <w:pPr>
              <w:spacing w:line="240" w:lineRule="auto"/>
              <w:jc w:val="center"/>
            </w:pPr>
            <w:r w:rsidRPr="003D4A4B">
              <w:t>48</w:t>
            </w:r>
          </w:p>
        </w:tc>
        <w:tc>
          <w:tcPr>
            <w:tcW w:w="1874" w:type="dxa"/>
          </w:tcPr>
          <w:p w:rsidR="008A33DF" w:rsidRPr="003D4A4B" w:rsidRDefault="008A33DF" w:rsidP="00733610">
            <w:pPr>
              <w:spacing w:line="240" w:lineRule="auto"/>
              <w:jc w:val="center"/>
            </w:pPr>
            <w:r w:rsidRPr="003D4A4B">
              <w:t>η1 = 16,0</w:t>
            </w:r>
          </w:p>
        </w:tc>
      </w:tr>
      <w:tr w:rsidR="008A33DF" w:rsidRPr="003D4A4B" w:rsidTr="00733610">
        <w:trPr>
          <w:trHeight w:val="263"/>
          <w:jc w:val="center"/>
        </w:trPr>
        <w:tc>
          <w:tcPr>
            <w:tcW w:w="5092" w:type="dxa"/>
          </w:tcPr>
          <w:p w:rsidR="008A33DF" w:rsidRPr="003D4A4B" w:rsidRDefault="008A33DF" w:rsidP="00733610">
            <w:pPr>
              <w:spacing w:line="276" w:lineRule="auto"/>
            </w:pPr>
            <w:r w:rsidRPr="003D4A4B">
              <w:t>Formation sur l’organisation de l’entretien.</w:t>
            </w:r>
          </w:p>
        </w:tc>
        <w:tc>
          <w:tcPr>
            <w:tcW w:w="992" w:type="dxa"/>
          </w:tcPr>
          <w:p w:rsidR="008A33DF" w:rsidRPr="003D4A4B" w:rsidRDefault="008A33DF" w:rsidP="00733610">
            <w:pPr>
              <w:spacing w:line="240" w:lineRule="auto"/>
              <w:jc w:val="center"/>
            </w:pPr>
            <w:r w:rsidRPr="003D4A4B">
              <w:t>48</w:t>
            </w:r>
          </w:p>
        </w:tc>
        <w:tc>
          <w:tcPr>
            <w:tcW w:w="1874" w:type="dxa"/>
          </w:tcPr>
          <w:p w:rsidR="008A33DF" w:rsidRPr="003D4A4B" w:rsidRDefault="008A33DF" w:rsidP="00733610">
            <w:pPr>
              <w:spacing w:line="240" w:lineRule="auto"/>
              <w:jc w:val="center"/>
            </w:pPr>
            <w:r w:rsidRPr="003D4A4B">
              <w:t>η2 = 20,0</w:t>
            </w:r>
          </w:p>
        </w:tc>
      </w:tr>
      <w:tr w:rsidR="008A33DF" w:rsidRPr="003D4A4B" w:rsidTr="00733610">
        <w:trPr>
          <w:trHeight w:val="267"/>
          <w:jc w:val="center"/>
        </w:trPr>
        <w:tc>
          <w:tcPr>
            <w:tcW w:w="7958" w:type="dxa"/>
            <w:gridSpan w:val="3"/>
          </w:tcPr>
          <w:p w:rsidR="008A33DF" w:rsidRPr="003D4A4B" w:rsidRDefault="008A33DF" w:rsidP="00733610">
            <w:pPr>
              <w:widowControl/>
              <w:autoSpaceDE w:val="0"/>
              <w:autoSpaceDN w:val="0"/>
              <w:adjustRightInd w:val="0"/>
              <w:spacing w:line="240" w:lineRule="auto"/>
              <w:jc w:val="center"/>
            </w:pPr>
            <w:r w:rsidRPr="003D4A4B">
              <w:t>Le test de η1 = η2 vs η1 ≠ η2 est significatif à p-value = 0.00</w:t>
            </w:r>
          </w:p>
        </w:tc>
      </w:tr>
    </w:tbl>
    <w:p w:rsidR="008A33DF" w:rsidRPr="008A33DF" w:rsidRDefault="008A33DF" w:rsidP="008A33DF">
      <w:pPr>
        <w:autoSpaceDE w:val="0"/>
        <w:autoSpaceDN w:val="0"/>
        <w:adjustRightInd w:val="0"/>
        <w:spacing w:after="0" w:line="240" w:lineRule="auto"/>
        <w:jc w:val="center"/>
        <w:rPr>
          <w:rFonts w:ascii="Arial" w:hAnsi="Arial" w:cs="Arial"/>
          <w:sz w:val="14"/>
          <w:szCs w:val="14"/>
        </w:rPr>
      </w:pPr>
    </w:p>
    <w:tbl>
      <w:tblPr>
        <w:tblStyle w:val="Grilledutableau"/>
        <w:tblW w:w="0" w:type="auto"/>
        <w:tblLook w:val="04A0" w:firstRow="1" w:lastRow="0" w:firstColumn="1" w:lastColumn="0" w:noHBand="0" w:noVBand="1"/>
      </w:tblPr>
      <w:tblGrid>
        <w:gridCol w:w="9286"/>
      </w:tblGrid>
      <w:tr w:rsidR="008A33DF" w:rsidTr="008A33DF">
        <w:tc>
          <w:tcPr>
            <w:tcW w:w="9286" w:type="dxa"/>
          </w:tcPr>
          <w:p w:rsidR="008A33DF" w:rsidRPr="00B04CBD" w:rsidRDefault="00B668CC" w:rsidP="008A33DF">
            <w:pPr>
              <w:keepNext/>
              <w:keepLines/>
              <w:autoSpaceDE w:val="0"/>
              <w:autoSpaceDN w:val="0"/>
              <w:adjustRightInd w:val="0"/>
              <w:spacing w:before="480" w:line="276" w:lineRule="auto"/>
              <w:jc w:val="left"/>
              <w:outlineLvl w:val="0"/>
              <w:rPr>
                <w:rFonts w:ascii="Times New Roman" w:hAnsi="Times New Roman"/>
                <w:sz w:val="14"/>
                <w:szCs w:val="14"/>
              </w:rPr>
            </w:pPr>
            <w:r>
              <w:rPr>
                <w:sz w:val="14"/>
                <w:szCs w:val="14"/>
              </w:rPr>
              <w:t xml:space="preserve">Les médianes des deux thèmes de formation sont significativement différentes </w:t>
            </w:r>
            <w:r>
              <w:rPr>
                <w:bCs/>
                <w:sz w:val="14"/>
                <w:szCs w:val="14"/>
              </w:rPr>
              <w:t xml:space="preserve">(p-value = 0,00 &lt; </w:t>
            </w:r>
            <w:r>
              <w:rPr>
                <w:bCs/>
                <w:color w:val="000000" w:themeColor="text1"/>
                <w:sz w:val="14"/>
                <w:szCs w:val="14"/>
              </w:rPr>
              <w:t xml:space="preserve">α = </w:t>
            </w:r>
            <w:r>
              <w:rPr>
                <w:bCs/>
                <w:sz w:val="14"/>
                <w:szCs w:val="14"/>
              </w:rPr>
              <w:t xml:space="preserve">0,05). </w:t>
            </w:r>
            <w:r>
              <w:rPr>
                <w:bCs/>
                <w:sz w:val="14"/>
                <w:szCs w:val="14"/>
              </w:rPr>
              <w:br/>
            </w:r>
            <w:r>
              <w:rPr>
                <w:sz w:val="14"/>
                <w:szCs w:val="14"/>
              </w:rPr>
              <w:t>Au total 48 paysans ont été interrogés et 96 RQTE ont été évaluées avec le WASO pour cette question.</w:t>
            </w:r>
          </w:p>
        </w:tc>
      </w:tr>
    </w:tbl>
    <w:p w:rsidR="00101588" w:rsidRDefault="000C2F36" w:rsidP="00C42F8D">
      <w:pPr>
        <w:pStyle w:val="Titre2"/>
      </w:pPr>
      <w:r>
        <w:t>Confrontation des résultats de l’enquête paysanne avec la perception des cadres de l’OPIB</w:t>
      </w:r>
    </w:p>
    <w:p w:rsidR="00680D92" w:rsidRPr="000C2F36" w:rsidRDefault="0048123E" w:rsidP="00680D92">
      <w:pPr>
        <w:spacing w:before="240"/>
        <w:jc w:val="both"/>
      </w:pPr>
      <w:r>
        <w:t>Afin d’identifier</w:t>
      </w:r>
      <w:r w:rsidR="003723BA" w:rsidRPr="008A33DF">
        <w:t xml:space="preserve"> </w:t>
      </w:r>
      <w:r>
        <w:t>dans quelle mesure il existe une vision de la problématique de l’entretien du réseau de drainage qui soit partagée par</w:t>
      </w:r>
      <w:r w:rsidRPr="008A33DF">
        <w:t xml:space="preserve"> les paysans et </w:t>
      </w:r>
      <w:r>
        <w:t xml:space="preserve">cadres de </w:t>
      </w:r>
      <w:r w:rsidRPr="008A33DF">
        <w:t>l’OPIB</w:t>
      </w:r>
      <w:r w:rsidR="00222C57" w:rsidRPr="008A33DF">
        <w:t>, les données</w:t>
      </w:r>
      <w:r w:rsidR="00222C57">
        <w:t xml:space="preserve"> recueillies auprès des premiers ont été discutées avec 6 cadres d</w:t>
      </w:r>
      <w:r>
        <w:t>e l’OPIB. Ces cadres étaient pour moitié des agronomes, plus porté</w:t>
      </w:r>
      <w:r w:rsidR="00222C57">
        <w:t>s sur les liens types de cultur</w:t>
      </w:r>
      <w:r>
        <w:t>es/entretien du réseau drainage et pour  l</w:t>
      </w:r>
      <w:r w:rsidR="00222C57">
        <w:t>’autre moitié</w:t>
      </w:r>
      <w:r>
        <w:t>,</w:t>
      </w:r>
      <w:r w:rsidR="00222C57">
        <w:t xml:space="preserve"> </w:t>
      </w:r>
      <w:r>
        <w:t>d</w:t>
      </w:r>
      <w:r w:rsidR="00222C57">
        <w:t xml:space="preserve">es agents de l’eau et </w:t>
      </w:r>
      <w:r>
        <w:t xml:space="preserve">des infrastructures, essentiellement concernés par les questions de </w:t>
      </w:r>
      <w:r w:rsidR="00222C57">
        <w:t>gestion d</w:t>
      </w:r>
      <w:r>
        <w:t>e l’eau. Ces entretiens, qui  n’on</w:t>
      </w:r>
      <w:r w:rsidR="00222C57">
        <w:t>t pas pour but de « valider » les opinions libremen</w:t>
      </w:r>
      <w:r>
        <w:t>t exprimées par les exploitants,</w:t>
      </w:r>
      <w:r w:rsidR="00680D92">
        <w:t xml:space="preserve"> ont visé à </w:t>
      </w:r>
      <w:r>
        <w:t xml:space="preserve"> </w:t>
      </w:r>
      <w:r w:rsidR="00680D92">
        <w:t xml:space="preserve">faire émerger des axes d’opération prioritaires auxquels adhéreraient exploitants et cadre de l’OPIB. </w:t>
      </w:r>
    </w:p>
    <w:p w:rsidR="00680D92" w:rsidRPr="00680D92" w:rsidRDefault="00680D92" w:rsidP="00EE1A05">
      <w:pPr>
        <w:autoSpaceDE w:val="0"/>
        <w:autoSpaceDN w:val="0"/>
        <w:adjustRightInd w:val="0"/>
        <w:spacing w:before="240"/>
        <w:jc w:val="both"/>
        <w:rPr>
          <w:i/>
        </w:rPr>
      </w:pPr>
      <w:r>
        <w:t xml:space="preserve">Ces discussions ont révélé une vision commune des agriculteurs et des cadres de l’OPIB sur 3 des 7 thèmes d’enquêtes : (i) </w:t>
      </w:r>
      <w:r w:rsidRPr="002E639B">
        <w:rPr>
          <w:i/>
        </w:rPr>
        <w:t>«  manque d’eau »</w:t>
      </w:r>
      <w:r>
        <w:t xml:space="preserve">  (ii) </w:t>
      </w:r>
      <w:r w:rsidRPr="002E639B">
        <w:rPr>
          <w:i/>
        </w:rPr>
        <w:t>« le manque de coordination »</w:t>
      </w:r>
      <w:r>
        <w:t xml:space="preserve">  et (iii</w:t>
      </w:r>
      <w:r w:rsidRPr="00680D92">
        <w:rPr>
          <w:i/>
        </w:rPr>
        <w:t>)   « non incidence du type de culture sur la motivation à entretenir les drains ».</w:t>
      </w:r>
    </w:p>
    <w:p w:rsidR="00101588" w:rsidRDefault="008F4CF8" w:rsidP="00EE1A05">
      <w:pPr>
        <w:autoSpaceDE w:val="0"/>
        <w:autoSpaceDN w:val="0"/>
        <w:adjustRightInd w:val="0"/>
        <w:spacing w:before="240"/>
        <w:jc w:val="both"/>
      </w:pPr>
      <w:r>
        <w:t xml:space="preserve">Concernant le </w:t>
      </w:r>
      <w:r w:rsidRPr="00CE7B82">
        <w:rPr>
          <w:i/>
        </w:rPr>
        <w:t>« </w:t>
      </w:r>
      <w:r w:rsidR="00222C57" w:rsidRPr="00CE7B82">
        <w:rPr>
          <w:i/>
        </w:rPr>
        <w:t>manque</w:t>
      </w:r>
      <w:r w:rsidR="008A5E88" w:rsidRPr="00CE7B82">
        <w:rPr>
          <w:i/>
        </w:rPr>
        <w:t xml:space="preserve"> </w:t>
      </w:r>
      <w:r w:rsidRPr="00CE7B82">
        <w:rPr>
          <w:i/>
        </w:rPr>
        <w:t>d’eau »</w:t>
      </w:r>
      <w:r>
        <w:t>, la vision des cadres de l’OPIB et des enquêtes concordent sur les causes et les conséquences sur l’entretien</w:t>
      </w:r>
      <w:r w:rsidR="00CE7B82">
        <w:t xml:space="preserve"> du réseau de drainage</w:t>
      </w:r>
      <w:r w:rsidR="00837303">
        <w:t>.</w:t>
      </w:r>
      <w:r>
        <w:t xml:space="preserve"> </w:t>
      </w:r>
      <w:r w:rsidR="00837303">
        <w:t xml:space="preserve">Le </w:t>
      </w:r>
      <w:r>
        <w:t xml:space="preserve">manque d’eau s’explique essentiellement par deux raisons : i) pour beaucoup, par la présence de sols filtrants, mais aussi, ii) pour les autres, par le manque de respect du tour d’eau.  Ce manque d’eau </w:t>
      </w:r>
      <w:r w:rsidR="00837303">
        <w:t xml:space="preserve"> </w:t>
      </w:r>
      <w:r w:rsidR="00222C57">
        <w:t>non seulem</w:t>
      </w:r>
      <w:r w:rsidR="00D2403E">
        <w:t>ent ne motive pas à l’entretien des drains</w:t>
      </w:r>
      <w:r w:rsidR="008A5E88">
        <w:t xml:space="preserve"> par le paysan</w:t>
      </w:r>
      <w:r w:rsidR="00837303">
        <w:t xml:space="preserve">, </w:t>
      </w:r>
      <w:r w:rsidR="008A5E88">
        <w:t xml:space="preserve"> </w:t>
      </w:r>
      <w:r w:rsidR="00222C57">
        <w:t>mais incite un nombre important</w:t>
      </w:r>
      <w:r>
        <w:t xml:space="preserve"> d’entre</w:t>
      </w:r>
      <w:r w:rsidR="00D2403E">
        <w:t xml:space="preserve"> eux</w:t>
      </w:r>
      <w:r w:rsidR="00222C57">
        <w:t xml:space="preserve"> à construire des « structures » (puits, digues…) pour bloquer l’eau et l’utiliser pour approvisionner l</w:t>
      </w:r>
      <w:r w:rsidR="00D2403E">
        <w:t>eurs</w:t>
      </w:r>
      <w:r w:rsidR="00222C57">
        <w:t xml:space="preserve"> parcelle</w:t>
      </w:r>
      <w:r w:rsidR="00D2403E">
        <w:t>s</w:t>
      </w:r>
      <w:r w:rsidR="00222C57">
        <w:t xml:space="preserve">. </w:t>
      </w:r>
    </w:p>
    <w:p w:rsidR="006E3486" w:rsidRDefault="00CE7B82" w:rsidP="00CE7B82">
      <w:pPr>
        <w:autoSpaceDE w:val="0"/>
        <w:autoSpaceDN w:val="0"/>
        <w:adjustRightInd w:val="0"/>
        <w:spacing w:before="240"/>
        <w:jc w:val="both"/>
      </w:pPr>
      <w:r>
        <w:t>Pour ce qui est du « </w:t>
      </w:r>
      <w:r w:rsidRPr="002E639B">
        <w:rPr>
          <w:i/>
        </w:rPr>
        <w:t>manque de coordination »</w:t>
      </w:r>
      <w:r>
        <w:t xml:space="preserve"> pour organiser l’entretien du réseau de drainage, les opinions des cadres de l’OPIB et les résultats de l’enquête convergent</w:t>
      </w:r>
      <w:r w:rsidR="00837303">
        <w:t xml:space="preserve"> également</w:t>
      </w:r>
      <w:r>
        <w:t>.</w:t>
      </w:r>
      <w:r w:rsidR="006E3486">
        <w:t xml:space="preserve"> Si les exploitants évoquent pour cela d’abord </w:t>
      </w:r>
      <w:r>
        <w:t>la nécessité d’une formation à</w:t>
      </w:r>
      <w:r w:rsidR="006E3486">
        <w:t xml:space="preserve"> l’organisation </w:t>
      </w:r>
      <w:r>
        <w:t>des travaux et à leur réalisation</w:t>
      </w:r>
      <w:r w:rsidR="006E3486">
        <w:t xml:space="preserve">, </w:t>
      </w:r>
      <w:r>
        <w:t xml:space="preserve">les techniciens suggèrent que la mise en œuvre de ces opérations </w:t>
      </w:r>
      <w:r w:rsidR="00005CA2">
        <w:t xml:space="preserve">devrait </w:t>
      </w:r>
      <w:r w:rsidR="00837303">
        <w:t>s’effectuer</w:t>
      </w:r>
      <w:r w:rsidR="00005CA2">
        <w:t xml:space="preserve"> </w:t>
      </w:r>
      <w:r w:rsidR="006E3486">
        <w:t xml:space="preserve">sous la responsabilité de la direction générale de l’OPIB. Apparemment </w:t>
      </w:r>
      <w:r w:rsidR="006E3486" w:rsidRPr="00142ECC">
        <w:rPr>
          <w:i/>
        </w:rPr>
        <w:t>l’implication d’une autorité</w:t>
      </w:r>
      <w:r w:rsidR="006E3486">
        <w:t xml:space="preserve"> pour aplanir les désaccords inter-paysans est </w:t>
      </w:r>
      <w:r w:rsidR="006E3486" w:rsidRPr="00142ECC">
        <w:rPr>
          <w:i/>
        </w:rPr>
        <w:t>aussi critique</w:t>
      </w:r>
      <w:r w:rsidR="006E3486">
        <w:t xml:space="preserve"> que la formation pour la réussite des opérations d’entretien. </w:t>
      </w:r>
    </w:p>
    <w:p w:rsidR="00142ECC" w:rsidRDefault="00142ECC" w:rsidP="00142ECC">
      <w:pPr>
        <w:spacing w:before="240"/>
        <w:jc w:val="both"/>
      </w:pPr>
      <w:r>
        <w:t>Le troisièm</w:t>
      </w:r>
      <w:r w:rsidR="000B718C">
        <w:t xml:space="preserve">e point de convergence </w:t>
      </w:r>
      <w:r>
        <w:t>OPIB/exploitants</w:t>
      </w:r>
      <w:r w:rsidR="000B718C">
        <w:t xml:space="preserve"> </w:t>
      </w:r>
      <w:r w:rsidR="00005CA2">
        <w:t xml:space="preserve">concerne le fait que </w:t>
      </w:r>
      <w:r>
        <w:t xml:space="preserve"> </w:t>
      </w:r>
      <w:r w:rsidR="00005CA2">
        <w:t>«</w:t>
      </w:r>
      <w:r w:rsidR="00005CA2" w:rsidRPr="00005CA2">
        <w:rPr>
          <w:i/>
        </w:rPr>
        <w:t> </w:t>
      </w:r>
      <w:r w:rsidR="000B718C">
        <w:rPr>
          <w:i/>
        </w:rPr>
        <w:t xml:space="preserve">le type de culture </w:t>
      </w:r>
      <w:r w:rsidRPr="00005CA2">
        <w:rPr>
          <w:i/>
        </w:rPr>
        <w:t>n’a pas vraiment d’incidence sur la motivation à entretenir les drains</w:t>
      </w:r>
      <w:r w:rsidR="00005CA2">
        <w:t> »</w:t>
      </w:r>
      <w:r>
        <w:t xml:space="preserve">. Il est conforté par les cadres de l’OPIB, qui rappellent que </w:t>
      </w:r>
      <w:r w:rsidRPr="00142ECC">
        <w:t xml:space="preserve">les drains ne sont pas entretenus en dépit du fait que le </w:t>
      </w:r>
      <w:r w:rsidR="0031301D">
        <w:rPr>
          <w:i/>
        </w:rPr>
        <w:t>riz es</w:t>
      </w:r>
      <w:r w:rsidRPr="00142ECC">
        <w:rPr>
          <w:i/>
        </w:rPr>
        <w:t>t la culture qui incite plus à l’entretien des drains</w:t>
      </w:r>
      <w:r w:rsidR="0031301D">
        <w:rPr>
          <w:i/>
        </w:rPr>
        <w:t xml:space="preserve"> (réglage lame d’eau optimum, à sec pour lutter contre la toxicité ferreuse </w:t>
      </w:r>
      <w:r w:rsidR="0016195C">
        <w:rPr>
          <w:i/>
        </w:rPr>
        <w:t>..</w:t>
      </w:r>
      <w:r w:rsidR="0031301D">
        <w:rPr>
          <w:i/>
        </w:rPr>
        <w:t>.)</w:t>
      </w:r>
      <w:r w:rsidR="000B718C">
        <w:t>. Ils imputent cette situation au fait que le riz étant</w:t>
      </w:r>
      <w:r w:rsidRPr="00142ECC">
        <w:t xml:space="preserve"> la culture l</w:t>
      </w:r>
      <w:r w:rsidR="000B718C">
        <w:t>a moins sensible à l’inondation, l</w:t>
      </w:r>
      <w:r>
        <w:t>e paysan est donc tenté de penser que sa production n’est pas menacée, même en cas d’inondation</w:t>
      </w:r>
      <w:r w:rsidR="000B718C">
        <w:t xml:space="preserve"> due à un dysfonctionnement du réseau de drainage</w:t>
      </w:r>
      <w:r>
        <w:t xml:space="preserve">. En </w:t>
      </w:r>
      <w:r>
        <w:lastRenderedPageBreak/>
        <w:t xml:space="preserve">conséquence, </w:t>
      </w:r>
      <w:r w:rsidRPr="00142ECC">
        <w:rPr>
          <w:i/>
        </w:rPr>
        <w:t>le riz est plutôt un obstacle</w:t>
      </w:r>
      <w:r>
        <w:t xml:space="preserve"> à l’entr</w:t>
      </w:r>
      <w:r w:rsidR="000B718C">
        <w:t xml:space="preserve">etien des drains. L’idée est avancée que la  promotion d’une </w:t>
      </w:r>
      <w:r>
        <w:t xml:space="preserve">diversification </w:t>
      </w:r>
      <w:r w:rsidR="000B718C">
        <w:t>des cultures économique plus attractive pourrait être</w:t>
      </w:r>
      <w:r>
        <w:t xml:space="preserve"> </w:t>
      </w:r>
      <w:r w:rsidR="000B718C">
        <w:t>une motivation à l’entretien de drains</w:t>
      </w:r>
      <w:r>
        <w:t>.</w:t>
      </w:r>
    </w:p>
    <w:p w:rsidR="0005471D" w:rsidRDefault="0031301D" w:rsidP="0005471D">
      <w:pPr>
        <w:spacing w:before="240"/>
        <w:jc w:val="both"/>
      </w:pPr>
      <w:r>
        <w:t>L</w:t>
      </w:r>
      <w:r w:rsidR="00142ECC">
        <w:t xml:space="preserve">es avis OPIB/exploitants </w:t>
      </w:r>
      <w:r w:rsidR="00577169">
        <w:t>divergent</w:t>
      </w:r>
      <w:r w:rsidR="00142ECC">
        <w:t xml:space="preserve"> </w:t>
      </w:r>
      <w:r w:rsidR="0005471D">
        <w:t xml:space="preserve">fortement </w:t>
      </w:r>
      <w:r>
        <w:t>concernant</w:t>
      </w:r>
      <w:r w:rsidR="00A127FD">
        <w:t xml:space="preserve"> </w:t>
      </w:r>
      <w:r>
        <w:t xml:space="preserve">l’incidence d’un </w:t>
      </w:r>
      <w:r w:rsidR="00A127FD">
        <w:t>« </w:t>
      </w:r>
      <w:r w:rsidR="00A127FD" w:rsidRPr="00362E5F">
        <w:rPr>
          <w:i/>
        </w:rPr>
        <w:t>rendement élevé</w:t>
      </w:r>
      <w:r w:rsidR="00A127FD">
        <w:t xml:space="preserve"> », </w:t>
      </w:r>
      <w:r>
        <w:t xml:space="preserve">de </w:t>
      </w:r>
      <w:r w:rsidR="00A127FD">
        <w:t xml:space="preserve"> l’importance de la </w:t>
      </w:r>
      <w:r w:rsidR="00A127FD" w:rsidRPr="00577169">
        <w:rPr>
          <w:i/>
        </w:rPr>
        <w:t>« bonne g</w:t>
      </w:r>
      <w:r w:rsidR="00F73375" w:rsidRPr="00577169">
        <w:rPr>
          <w:i/>
        </w:rPr>
        <w:t>estion de l’eau d’irrigation</w:t>
      </w:r>
      <w:r w:rsidR="00F73375" w:rsidRPr="00577169">
        <w:t> »</w:t>
      </w:r>
      <w:r>
        <w:t xml:space="preserve"> et de</w:t>
      </w:r>
      <w:r w:rsidR="00F73375">
        <w:t xml:space="preserve"> « </w:t>
      </w:r>
      <w:r w:rsidR="001264F5" w:rsidRPr="001264F5">
        <w:rPr>
          <w:i/>
        </w:rPr>
        <w:t>taille</w:t>
      </w:r>
      <w:r w:rsidR="001264F5">
        <w:t xml:space="preserve"> </w:t>
      </w:r>
      <w:r w:rsidR="00F73375" w:rsidRPr="00362E5F">
        <w:rPr>
          <w:i/>
        </w:rPr>
        <w:t>l’exploitation paysanne</w:t>
      </w:r>
      <w:r>
        <w:t> » sur l’entretien des réseaux de drainage.</w:t>
      </w:r>
      <w:r w:rsidR="0005471D" w:rsidRPr="0005471D">
        <w:t xml:space="preserve"> </w:t>
      </w:r>
      <w:r w:rsidR="0005471D">
        <w:t xml:space="preserve">Les opinions entre les cadres de l’OPIB eux-mêmes </w:t>
      </w:r>
      <w:r w:rsidR="0005471D" w:rsidRPr="00F73375">
        <w:rPr>
          <w:i/>
        </w:rPr>
        <w:t>restent partagées</w:t>
      </w:r>
      <w:r w:rsidR="0005471D">
        <w:rPr>
          <w:i/>
        </w:rPr>
        <w:t xml:space="preserve">. </w:t>
      </w:r>
      <w:r w:rsidR="0005471D">
        <w:t xml:space="preserve"> </w:t>
      </w:r>
      <w:r w:rsidR="00196295">
        <w:t>P</w:t>
      </w:r>
      <w:r w:rsidR="0005471D">
        <w:t xml:space="preserve">our les acteurs impliqués dans la gestion du drainage  l’incidence de ces thèmes </w:t>
      </w:r>
      <w:r w:rsidR="00196295">
        <w:t>sur</w:t>
      </w:r>
      <w:r w:rsidR="0005471D">
        <w:t xml:space="preserve"> l’incitation à l’entretien des drains n’est pas claire</w:t>
      </w:r>
      <w:r w:rsidR="00196295">
        <w:t>. Dans la mesure où l’objectif de la démarche est d’identifier des</w:t>
      </w:r>
      <w:r w:rsidR="00196295" w:rsidRPr="00196295">
        <w:t xml:space="preserve"> points de consensus, porte d’entrée pour les opérations de réformes à fort p</w:t>
      </w:r>
      <w:r w:rsidR="00196295">
        <w:t>otentiel d’adhésion des acteurs, il y a tout lieu de penser que ces thèmes pourraient être supprimés du questionnaire.</w:t>
      </w:r>
    </w:p>
    <w:p w:rsidR="00A40609" w:rsidRDefault="00A40609" w:rsidP="00B86AE7">
      <w:pPr>
        <w:pStyle w:val="Titre1"/>
      </w:pPr>
      <w:r>
        <w:t>Leçons sur la méthodologie d’investigation</w:t>
      </w:r>
    </w:p>
    <w:p w:rsidR="007D137A" w:rsidRDefault="007D137A" w:rsidP="00C42F8D">
      <w:pPr>
        <w:pStyle w:val="Titre2"/>
      </w:pPr>
      <w:r>
        <w:t xml:space="preserve">Le WASO procure </w:t>
      </w:r>
      <w:r w:rsidR="009E7B5C">
        <w:t>un moyen</w:t>
      </w:r>
      <w:r>
        <w:t xml:space="preserve"> </w:t>
      </w:r>
      <w:r w:rsidR="00690F6B">
        <w:t xml:space="preserve">de priorisation objective </w:t>
      </w:r>
      <w:r w:rsidR="00577169">
        <w:t>des perceptions d</w:t>
      </w:r>
      <w:r w:rsidR="00690F6B">
        <w:t>es acteurs</w:t>
      </w:r>
    </w:p>
    <w:p w:rsidR="007D137A" w:rsidRDefault="007D137A" w:rsidP="003723BA">
      <w:pPr>
        <w:autoSpaceDE w:val="0"/>
        <w:autoSpaceDN w:val="0"/>
        <w:adjustRightInd w:val="0"/>
        <w:spacing w:before="240"/>
        <w:jc w:val="both"/>
      </w:pPr>
      <w:r>
        <w:t xml:space="preserve">L’évaluation des questions en utilisant une </w:t>
      </w:r>
      <w:r w:rsidRPr="003723BA">
        <w:rPr>
          <w:i/>
        </w:rPr>
        <w:t xml:space="preserve">échelle </w:t>
      </w:r>
      <w:r w:rsidR="004D1CD9" w:rsidRPr="003723BA">
        <w:rPr>
          <w:i/>
        </w:rPr>
        <w:t>commune</w:t>
      </w:r>
      <w:r w:rsidR="004D1CD9">
        <w:t xml:space="preserve"> </w:t>
      </w:r>
      <w:r>
        <w:t>est un</w:t>
      </w:r>
      <w:r w:rsidR="004E0BAF">
        <w:t>e</w:t>
      </w:r>
      <w:r>
        <w:t xml:space="preserve"> </w:t>
      </w:r>
      <w:r w:rsidR="004E7D41">
        <w:t xml:space="preserve">puissante </w:t>
      </w:r>
      <w:r w:rsidR="004E0BAF">
        <w:t>base d’analyse</w:t>
      </w:r>
      <w:r>
        <w:t xml:space="preserve"> rendu</w:t>
      </w:r>
      <w:r w:rsidR="004E0BAF">
        <w:t>e</w:t>
      </w:r>
      <w:r>
        <w:t xml:space="preserve"> possible par l’usage d</w:t>
      </w:r>
      <w:r w:rsidR="000C2F36">
        <w:t>e l’outil d’enquête</w:t>
      </w:r>
      <w:r>
        <w:t xml:space="preserve"> WASO. La base commune est l’évaluation </w:t>
      </w:r>
      <w:r w:rsidRPr="003723BA">
        <w:rPr>
          <w:i/>
        </w:rPr>
        <w:t>sur 20</w:t>
      </w:r>
      <w:r>
        <w:t xml:space="preserve"> de l’opinion, qu’importe la réponse proposé</w:t>
      </w:r>
      <w:r w:rsidR="004D1CD9">
        <w:t>e</w:t>
      </w:r>
      <w:r>
        <w:t xml:space="preserve"> à l’enquêté. Les notes ainsi recueillies s’échelonnant de 1 à 20</w:t>
      </w:r>
      <w:r w:rsidR="004E7D41">
        <w:t>. Elles</w:t>
      </w:r>
      <w:r>
        <w:t xml:space="preserve"> se prêtent soit à une application de l’</w:t>
      </w:r>
      <w:r w:rsidRPr="003723BA">
        <w:rPr>
          <w:i/>
        </w:rPr>
        <w:t>ANOVA</w:t>
      </w:r>
      <w:r w:rsidR="00577169">
        <w:rPr>
          <w:i/>
        </w:rPr>
        <w:t>/Tukey Test</w:t>
      </w:r>
      <w:r>
        <w:t xml:space="preserve"> – si les échantillons de notes suivent une loi de </w:t>
      </w:r>
      <w:r w:rsidRPr="003723BA">
        <w:rPr>
          <w:i/>
        </w:rPr>
        <w:t>distribution normale</w:t>
      </w:r>
      <w:r>
        <w:t xml:space="preserve"> –</w:t>
      </w:r>
      <w:r w:rsidR="004D1CD9">
        <w:t>,</w:t>
      </w:r>
      <w:r>
        <w:t xml:space="preserve"> soit </w:t>
      </w:r>
      <w:r w:rsidR="000C2F36">
        <w:t xml:space="preserve">à </w:t>
      </w:r>
      <w:r>
        <w:t xml:space="preserve">une analyse de </w:t>
      </w:r>
      <w:proofErr w:type="spellStart"/>
      <w:r w:rsidR="00452B9C" w:rsidRPr="003723BA">
        <w:rPr>
          <w:i/>
        </w:rPr>
        <w:t>Kruskal</w:t>
      </w:r>
      <w:proofErr w:type="spellEnd"/>
      <w:r w:rsidR="00452B9C" w:rsidRPr="003723BA">
        <w:rPr>
          <w:i/>
        </w:rPr>
        <w:t>-Walis</w:t>
      </w:r>
      <w:r w:rsidR="00577169">
        <w:rPr>
          <w:i/>
        </w:rPr>
        <w:t>/</w:t>
      </w:r>
      <w:proofErr w:type="spellStart"/>
      <w:r w:rsidR="00577169">
        <w:rPr>
          <w:i/>
        </w:rPr>
        <w:t>MannWitney</w:t>
      </w:r>
      <w:proofErr w:type="spellEnd"/>
      <w:r w:rsidR="00577169">
        <w:rPr>
          <w:i/>
        </w:rPr>
        <w:t xml:space="preserve"> Test</w:t>
      </w:r>
      <w:r w:rsidR="00452B9C">
        <w:t xml:space="preserve"> </w:t>
      </w:r>
      <w:r>
        <w:t xml:space="preserve">quand la distribution n’est </w:t>
      </w:r>
      <w:r w:rsidRPr="003723BA">
        <w:rPr>
          <w:i/>
        </w:rPr>
        <w:t>pas normale</w:t>
      </w:r>
      <w:r>
        <w:t xml:space="preserve">. </w:t>
      </w:r>
      <w:r w:rsidR="00B6344B">
        <w:t>Deux</w:t>
      </w:r>
      <w:r>
        <w:t xml:space="preserve"> excellent</w:t>
      </w:r>
      <w:r w:rsidR="00B6344B">
        <w:t>s</w:t>
      </w:r>
      <w:r>
        <w:t xml:space="preserve"> </w:t>
      </w:r>
      <w:r w:rsidR="00B6344B">
        <w:t>exemples</w:t>
      </w:r>
      <w:r>
        <w:t xml:space="preserve"> </w:t>
      </w:r>
      <w:r w:rsidR="00982816">
        <w:t xml:space="preserve">de cet usage – présentés plus haut – </w:t>
      </w:r>
      <w:r w:rsidR="00B6344B">
        <w:t xml:space="preserve">sont </w:t>
      </w:r>
      <w:r>
        <w:t>offert</w:t>
      </w:r>
      <w:r w:rsidR="00B6344B">
        <w:t>s</w:t>
      </w:r>
      <w:r>
        <w:t xml:space="preserve"> par </w:t>
      </w:r>
      <w:r w:rsidR="00B6344B">
        <w:t xml:space="preserve">i) </w:t>
      </w:r>
      <w:r>
        <w:t xml:space="preserve">la </w:t>
      </w:r>
      <w:r w:rsidR="00B6344B">
        <w:t>priorisation</w:t>
      </w:r>
      <w:r>
        <w:t xml:space="preserve"> entre</w:t>
      </w:r>
      <w:r w:rsidR="00B6344B">
        <w:t xml:space="preserve"> </w:t>
      </w:r>
      <w:r>
        <w:t xml:space="preserve"> « </w:t>
      </w:r>
      <w:r w:rsidRPr="003723BA">
        <w:rPr>
          <w:i/>
        </w:rPr>
        <w:t>le manque d’eau</w:t>
      </w:r>
      <w:r>
        <w:t> » et le « </w:t>
      </w:r>
      <w:r w:rsidRPr="003723BA">
        <w:rPr>
          <w:i/>
        </w:rPr>
        <w:t>respect du tour d’eau</w:t>
      </w:r>
      <w:r>
        <w:t> »</w:t>
      </w:r>
      <w:r w:rsidR="00B6344B">
        <w:t>, ou ii) celle entre</w:t>
      </w:r>
      <w:r w:rsidR="00452B9C">
        <w:t xml:space="preserve"> la </w:t>
      </w:r>
      <w:r w:rsidR="00B6344B">
        <w:t>« </w:t>
      </w:r>
      <w:r w:rsidR="00B6344B" w:rsidRPr="003723BA">
        <w:rPr>
          <w:i/>
        </w:rPr>
        <w:t>Formation sur l’organisation de l’entretien</w:t>
      </w:r>
      <w:r w:rsidR="00B6344B">
        <w:t xml:space="preserve"> » et </w:t>
      </w:r>
      <w:r w:rsidR="00452B9C">
        <w:t xml:space="preserve">celle de la </w:t>
      </w:r>
      <w:r w:rsidR="00B6344B">
        <w:t>« </w:t>
      </w:r>
      <w:r w:rsidR="00B6344B" w:rsidRPr="003723BA">
        <w:rPr>
          <w:i/>
        </w:rPr>
        <w:t>Formation sur les petits équipements d’entretien</w:t>
      </w:r>
      <w:r w:rsidR="00B6344B">
        <w:t xml:space="preserve"> ». Dans les deux cas, la première option est apparue </w:t>
      </w:r>
      <w:r w:rsidR="00B6344B" w:rsidRPr="003723BA">
        <w:rPr>
          <w:i/>
        </w:rPr>
        <w:t>significativement</w:t>
      </w:r>
      <w:r w:rsidR="00B6344B">
        <w:t xml:space="preserve"> </w:t>
      </w:r>
      <w:r w:rsidR="00196295">
        <w:t xml:space="preserve">la plus </w:t>
      </w:r>
      <w:r w:rsidR="00B6344B">
        <w:t>cruciale</w:t>
      </w:r>
      <w:r w:rsidR="004E7D41">
        <w:t xml:space="preserve"> du point de vue </w:t>
      </w:r>
      <w:r w:rsidR="0086321E">
        <w:t>agriculteur</w:t>
      </w:r>
      <w:r w:rsidR="00B6344B">
        <w:t>.</w:t>
      </w:r>
      <w:r w:rsidR="00196295">
        <w:t xml:space="preserve"> </w:t>
      </w:r>
    </w:p>
    <w:p w:rsidR="000F4F13" w:rsidRDefault="00123900" w:rsidP="00C42F8D">
      <w:pPr>
        <w:pStyle w:val="Titre2"/>
      </w:pPr>
      <w:r>
        <w:t>E</w:t>
      </w:r>
      <w:r w:rsidR="003723BA">
        <w:t xml:space="preserve">viter des questions qui appellent </w:t>
      </w:r>
      <w:r w:rsidR="0034328C">
        <w:t xml:space="preserve">des </w:t>
      </w:r>
      <w:r w:rsidR="0028454E">
        <w:t xml:space="preserve">réponses </w:t>
      </w:r>
      <w:r w:rsidR="0034328C">
        <w:t>polarisée</w:t>
      </w:r>
      <w:r w:rsidR="0028454E">
        <w:t>s</w:t>
      </w:r>
    </w:p>
    <w:p w:rsidR="00DB5283" w:rsidRDefault="00697B9C" w:rsidP="0034328C">
      <w:pPr>
        <w:autoSpaceDE w:val="0"/>
        <w:autoSpaceDN w:val="0"/>
        <w:adjustRightInd w:val="0"/>
        <w:spacing w:before="240"/>
        <w:jc w:val="both"/>
      </w:pPr>
      <w:r>
        <w:t xml:space="preserve">La </w:t>
      </w:r>
      <w:r w:rsidRPr="0034328C">
        <w:rPr>
          <w:i/>
        </w:rPr>
        <w:t>polarisation</w:t>
      </w:r>
      <w:r>
        <w:t xml:space="preserve"> rend difficile, parfois impossible</w:t>
      </w:r>
      <w:r w:rsidR="003D76C1">
        <w:t>,</w:t>
      </w:r>
      <w:r>
        <w:t xml:space="preserve"> la priorisation des opinions exprimées. Par exemple, si toute</w:t>
      </w:r>
      <w:r w:rsidR="000B389B">
        <w:t>s</w:t>
      </w:r>
      <w:r>
        <w:t xml:space="preserve"> les réponses sont 19 ou 20, la plage des données est trop faible pour différenci</w:t>
      </w:r>
      <w:r w:rsidR="003D76C1">
        <w:t>er</w:t>
      </w:r>
      <w:r>
        <w:t xml:space="preserve"> les quartiles, la moyenne et la médiane. La variance devient trop faible. La possibilité de noter sur le WASO entre 1 </w:t>
      </w:r>
      <w:r w:rsidR="00123900">
        <w:t>e</w:t>
      </w:r>
      <w:r>
        <w:t>t 20 réduit ce risque mais ne</w:t>
      </w:r>
      <w:r w:rsidR="00123900">
        <w:t xml:space="preserve"> l’annule pas. Il faut </w:t>
      </w:r>
      <w:r>
        <w:t xml:space="preserve">que la réponse anticipée proposée possède un fort potentiel de différentiation. Pour répondre à la question </w:t>
      </w:r>
      <w:r w:rsidRPr="0034328C">
        <w:rPr>
          <w:i/>
        </w:rPr>
        <w:t>Quel rendement du riz serait encourageant pour le nettoyage des drains ?</w:t>
      </w:r>
      <w:proofErr w:type="gramStart"/>
      <w:r w:rsidR="00C822B9" w:rsidRPr="00C822B9">
        <w:rPr>
          <w:i/>
        </w:rPr>
        <w:t>(</w:t>
      </w:r>
      <w:r w:rsidRPr="00C822B9">
        <w:rPr>
          <w:i/>
        </w:rPr>
        <w:t xml:space="preserve"> QTE2.1</w:t>
      </w:r>
      <w:proofErr w:type="gramEnd"/>
      <w:r w:rsidR="00C822B9" w:rsidRPr="00C822B9">
        <w:rPr>
          <w:i/>
        </w:rPr>
        <w:t>)</w:t>
      </w:r>
      <w:r w:rsidR="00C822B9">
        <w:t>, u</w:t>
      </w:r>
      <w:r>
        <w:t xml:space="preserve">n </w:t>
      </w:r>
      <w:r w:rsidR="00C822B9">
        <w:t>ensemble</w:t>
      </w:r>
      <w:r>
        <w:t xml:space="preserve"> de réponse</w:t>
      </w:r>
      <w:r w:rsidR="0034328C">
        <w:t>s</w:t>
      </w:r>
      <w:r>
        <w:t xml:space="preserve"> anticipées du gen</w:t>
      </w:r>
      <w:r w:rsidR="0034328C">
        <w:t xml:space="preserve">re </w:t>
      </w:r>
      <w:r w:rsidR="0034328C" w:rsidRPr="0034328C">
        <w:rPr>
          <w:i/>
        </w:rPr>
        <w:t>3t/ha, 5 t/ha ou 10 t/ha</w:t>
      </w:r>
      <w:r w:rsidR="00123900">
        <w:t xml:space="preserve"> entraîne logiquement</w:t>
      </w:r>
      <w:r w:rsidR="0034328C">
        <w:t xml:space="preserve"> une </w:t>
      </w:r>
      <w:r w:rsidR="009A3D14" w:rsidRPr="009A3D14">
        <w:rPr>
          <w:i/>
        </w:rPr>
        <w:t>polarisation</w:t>
      </w:r>
      <w:r w:rsidR="0034328C">
        <w:t xml:space="preserve"> des scores </w:t>
      </w:r>
      <w:r w:rsidR="00C822B9">
        <w:t xml:space="preserve">autour de </w:t>
      </w:r>
      <w:r w:rsidR="0034328C">
        <w:t>20</w:t>
      </w:r>
      <w:r w:rsidR="00C822B9">
        <w:t>/20</w:t>
      </w:r>
      <w:r w:rsidR="0034328C">
        <w:t xml:space="preserve"> pour les </w:t>
      </w:r>
      <w:r w:rsidR="0034328C" w:rsidRPr="00C822B9">
        <w:rPr>
          <w:i/>
        </w:rPr>
        <w:t>10 t/ha</w:t>
      </w:r>
      <w:r w:rsidR="0034328C">
        <w:t xml:space="preserve">. On pouvait </w:t>
      </w:r>
      <w:r w:rsidR="00C822B9">
        <w:t>anticiper cela</w:t>
      </w:r>
      <w:r w:rsidR="0034328C">
        <w:t xml:space="preserve"> car chacun préférerait maximiser son rendement, sans que </w:t>
      </w:r>
      <w:r w:rsidR="0034328C" w:rsidRPr="0034328C">
        <w:rPr>
          <w:i/>
        </w:rPr>
        <w:t>ne soit avéré le lien avec la volonté d’entretenir les drains</w:t>
      </w:r>
      <w:r w:rsidR="0034328C">
        <w:t xml:space="preserve">. Il serait par conséquent difficile de comparer l’échantillon ainsi recueilli avec une variance presque nulle avec celle issues des </w:t>
      </w:r>
      <w:r w:rsidR="00C822B9">
        <w:t>notes</w:t>
      </w:r>
      <w:r w:rsidR="0034328C">
        <w:t> concernant 3 t/ha ou 5t/ha, qui auraient une plage de variation plus importante.</w:t>
      </w:r>
    </w:p>
    <w:p w:rsidR="00DB5283" w:rsidRDefault="00DB5283" w:rsidP="00C42F8D">
      <w:pPr>
        <w:pStyle w:val="Titre2"/>
      </w:pPr>
      <w:r>
        <w:t>Les questions doivent être liées à la problématique aussi spécifiquement que possible</w:t>
      </w:r>
    </w:p>
    <w:p w:rsidR="00162674" w:rsidRDefault="002B62D6" w:rsidP="00123900">
      <w:pPr>
        <w:autoSpaceDE w:val="0"/>
        <w:autoSpaceDN w:val="0"/>
        <w:adjustRightInd w:val="0"/>
        <w:spacing w:before="240"/>
        <w:jc w:val="both"/>
      </w:pPr>
      <w:r>
        <w:t>Pou</w:t>
      </w:r>
      <w:r w:rsidR="00123900">
        <w:t>r obtenir des réponses facilement interprétables, il fau</w:t>
      </w:r>
      <w:r>
        <w:t xml:space="preserve">t veiller à ce que les questions et les réponses anticipées soient connectées sans ambigüité à la problématique de l’entretien des réseaux de drainage. Cette observation </w:t>
      </w:r>
      <w:r w:rsidR="009A3D14">
        <w:t>s’étend</w:t>
      </w:r>
      <w:r>
        <w:t xml:space="preserve"> à l’application de la procédure WASO/Questionnaire scoré et codé</w:t>
      </w:r>
      <w:r w:rsidR="009A3D14">
        <w:t xml:space="preserve"> en toute situation</w:t>
      </w:r>
      <w:r>
        <w:t xml:space="preserve">. On </w:t>
      </w:r>
      <w:r w:rsidR="009A3D14">
        <w:t xml:space="preserve">a </w:t>
      </w:r>
      <w:r>
        <w:t>du mal par exemple à faire le lien entre  </w:t>
      </w:r>
      <w:r w:rsidRPr="009A3D14">
        <w:rPr>
          <w:i/>
        </w:rPr>
        <w:t>Rendement élevé</w:t>
      </w:r>
      <w:r w:rsidR="009A3D14">
        <w:t> </w:t>
      </w:r>
      <w:r>
        <w:t xml:space="preserve"> et motivation à entretenir les drains. Les enquêtes menées ne montrent pas ce lien, elles indiquent simplement que les exploitants considèrent que le rendement élevé est </w:t>
      </w:r>
      <w:r w:rsidR="009A3D14">
        <w:t xml:space="preserve">un </w:t>
      </w:r>
      <w:r>
        <w:t>motif de satisfaction général, y compris la disposition à entretenir les drains. Cependant, les observations à Baguiné</w:t>
      </w:r>
      <w:r w:rsidR="00123900">
        <w:t>da ne reflètent pas que les agriculteurs qui obtiennent les plus</w:t>
      </w:r>
      <w:r w:rsidR="00504461">
        <w:t xml:space="preserve"> grands</w:t>
      </w:r>
      <w:r w:rsidR="00123900">
        <w:t xml:space="preserve">  rendements</w:t>
      </w:r>
      <w:r w:rsidR="009A3D14">
        <w:t xml:space="preserve"> </w:t>
      </w:r>
      <w:r w:rsidR="00123900">
        <w:t xml:space="preserve">sont ceux qui  entretiennent le mieux </w:t>
      </w:r>
      <w:r>
        <w:t>leur</w:t>
      </w:r>
      <w:r w:rsidR="009A3D14">
        <w:t>s</w:t>
      </w:r>
      <w:r>
        <w:t xml:space="preserve"> drains.</w:t>
      </w:r>
      <w:r w:rsidR="00162674">
        <w:t xml:space="preserve"> </w:t>
      </w:r>
    </w:p>
    <w:p w:rsidR="00DB5283" w:rsidRDefault="00162674" w:rsidP="005152B8">
      <w:pPr>
        <w:jc w:val="both"/>
      </w:pPr>
      <w:r>
        <w:t xml:space="preserve">Il </w:t>
      </w:r>
      <w:r w:rsidR="00123900">
        <w:t xml:space="preserve">est </w:t>
      </w:r>
      <w:r>
        <w:t>capital de construire un questionnaire orienté clairement vers une résolution opérationnel</w:t>
      </w:r>
      <w:r w:rsidR="00123900">
        <w:t xml:space="preserve">le </w:t>
      </w:r>
      <w:r>
        <w:t xml:space="preserve">du mauvais entretien des réseaux de drainage. </w:t>
      </w:r>
      <w:r w:rsidR="009946E1">
        <w:t>En se fondant sur les études menées à Tiéfora et surtout à Baguinéda, il apparaît que l</w:t>
      </w:r>
      <w:r>
        <w:t xml:space="preserve">es thèmes </w:t>
      </w:r>
      <w:r w:rsidR="009946E1">
        <w:t xml:space="preserve">d’enquête </w:t>
      </w:r>
      <w:r>
        <w:t>et</w:t>
      </w:r>
      <w:r w:rsidR="009946E1">
        <w:t xml:space="preserve"> les</w:t>
      </w:r>
      <w:r>
        <w:t xml:space="preserve"> réponses anticipées peuvent être associés de façon très visibles à </w:t>
      </w:r>
      <w:r w:rsidRPr="00162674">
        <w:rPr>
          <w:i/>
        </w:rPr>
        <w:t>trois types de processus</w:t>
      </w:r>
      <w:r>
        <w:t xml:space="preserve"> dans lesquels l’opinion de l’exploitant sera mesurée. D’abord</w:t>
      </w:r>
      <w:r w:rsidR="009946E1">
        <w:t>,</w:t>
      </w:r>
      <w:r>
        <w:t xml:space="preserve"> </w:t>
      </w:r>
      <w:r w:rsidR="00123900">
        <w:t>l</w:t>
      </w:r>
      <w:r w:rsidR="00841230">
        <w:t>a perception</w:t>
      </w:r>
      <w:r>
        <w:t xml:space="preserve"> de l’exploitant </w:t>
      </w:r>
      <w:r>
        <w:lastRenderedPageBreak/>
        <w:t>concernant l</w:t>
      </w:r>
      <w:r w:rsidR="009946E1">
        <w:t>a</w:t>
      </w:r>
      <w:r>
        <w:t xml:space="preserve"> </w:t>
      </w:r>
      <w:r w:rsidR="009946E1">
        <w:rPr>
          <w:i/>
        </w:rPr>
        <w:t>fonction</w:t>
      </w:r>
      <w:r w:rsidR="00841230">
        <w:t xml:space="preserve"> des drains</w:t>
      </w:r>
      <w:r>
        <w:t xml:space="preserve">. Ensuite, l’avis de l’exploitant sur la </w:t>
      </w:r>
      <w:r w:rsidRPr="00162674">
        <w:rPr>
          <w:i/>
        </w:rPr>
        <w:t>conséquence</w:t>
      </w:r>
      <w:r>
        <w:t xml:space="preserve"> du manque d’entretien des drains pour sa parcelle et ses cultures. Finalement, </w:t>
      </w:r>
      <w:r w:rsidR="00841230">
        <w:t xml:space="preserve">son opinion concernant  </w:t>
      </w:r>
      <w:r>
        <w:t xml:space="preserve">les </w:t>
      </w:r>
      <w:r w:rsidRPr="00162674">
        <w:rPr>
          <w:i/>
        </w:rPr>
        <w:t>solutions possibles</w:t>
      </w:r>
      <w:r>
        <w:t xml:space="preserve"> pour résoudre la question du manque d’entretien des drains. Une telle approche permet de cerner non seulement les obstacles, mais aussi les solutions ayant un fort potentiel d’adhésion des acteurs.</w:t>
      </w:r>
      <w:r w:rsidR="004B69EA">
        <w:t xml:space="preserve"> C’est sur cette articulation que </w:t>
      </w:r>
      <w:r w:rsidR="00CD23F6">
        <w:t>s’orientent</w:t>
      </w:r>
      <w:r w:rsidR="004B69EA">
        <w:t xml:space="preserve"> désormais les perspectives d’application de la méthodologie (voir section perspective ci-dessous)</w:t>
      </w:r>
    </w:p>
    <w:p w:rsidR="00B86AE7" w:rsidRDefault="00B86AE7" w:rsidP="00B86AE7">
      <w:pPr>
        <w:pStyle w:val="Titre1"/>
      </w:pPr>
      <w:r>
        <w:t>Conclusion et recommandation du cas d’étude Baguinéda</w:t>
      </w:r>
    </w:p>
    <w:p w:rsidR="006C5151" w:rsidRDefault="005F786E" w:rsidP="005F1878">
      <w:pPr>
        <w:pStyle w:val="Titre2"/>
      </w:pPr>
      <w:r>
        <w:t>Conclusion</w:t>
      </w:r>
    </w:p>
    <w:p w:rsidR="00D05F96" w:rsidRDefault="00394081" w:rsidP="00D05F96">
      <w:pPr>
        <w:spacing w:before="120"/>
        <w:jc w:val="both"/>
      </w:pPr>
      <w:r>
        <w:t xml:space="preserve">On peut retenir de la présente étude que deux séries de résultats importants ont été atteints. </w:t>
      </w:r>
    </w:p>
    <w:p w:rsidR="00841230" w:rsidRDefault="00394081" w:rsidP="00D05F96">
      <w:pPr>
        <w:spacing w:before="120"/>
        <w:jc w:val="both"/>
      </w:pPr>
      <w:r>
        <w:t>D’abord, il s’a</w:t>
      </w:r>
      <w:r w:rsidR="00841230">
        <w:t>gissait d’identifier</w:t>
      </w:r>
      <w:r>
        <w:t xml:space="preserve"> par une dém</w:t>
      </w:r>
      <w:r w:rsidR="00841230">
        <w:t xml:space="preserve">arche scientifique rigoureuse les propositions des exploitants de Baguinéda pour résoudre la question de l’entretien du réseau de drainage. </w:t>
      </w:r>
      <w:r w:rsidR="00D05F96">
        <w:t xml:space="preserve">Quatre types de propositions partagées par les cadres de l’OPIB suggèrent que ; (i) l’entretien du réseau de drainage est étroitement dépendant de la résolution des problèmes de </w:t>
      </w:r>
      <w:r w:rsidR="00D05F96" w:rsidRPr="00A719FB">
        <w:rPr>
          <w:i/>
        </w:rPr>
        <w:t>manque d’eau et de la toxicité ferreuse</w:t>
      </w:r>
      <w:r w:rsidR="00D05F96">
        <w:rPr>
          <w:i/>
        </w:rPr>
        <w:t xml:space="preserve">, </w:t>
      </w:r>
      <w:r w:rsidR="00D05F96" w:rsidRPr="00D05F96">
        <w:t>(</w:t>
      </w:r>
      <w:r w:rsidR="001B183E">
        <w:t xml:space="preserve">ii) les activités d’entretien du réseau doivent être </w:t>
      </w:r>
      <w:r w:rsidR="001B183E" w:rsidRPr="00A719FB">
        <w:rPr>
          <w:i/>
        </w:rPr>
        <w:t>coordonnée</w:t>
      </w:r>
      <w:r w:rsidR="00A719FB" w:rsidRPr="00A719FB">
        <w:rPr>
          <w:i/>
        </w:rPr>
        <w:t>s</w:t>
      </w:r>
      <w:r w:rsidR="001B183E">
        <w:t xml:space="preserve"> par une </w:t>
      </w:r>
      <w:r w:rsidR="001B183E" w:rsidRPr="00A719FB">
        <w:rPr>
          <w:i/>
        </w:rPr>
        <w:t xml:space="preserve">autorité </w:t>
      </w:r>
      <w:r w:rsidR="001B183E">
        <w:t>autre que l’organisation paysanne, et</w:t>
      </w:r>
      <w:r w:rsidR="00D05F96">
        <w:t xml:space="preserve"> cette entité doit être l’OPIB, (</w:t>
      </w:r>
      <w:r w:rsidR="001B183E">
        <w:t xml:space="preserve">iii) </w:t>
      </w:r>
      <w:r w:rsidR="00D05F96">
        <w:t xml:space="preserve">leur mise en </w:t>
      </w:r>
      <w:proofErr w:type="spellStart"/>
      <w:r w:rsidR="00D05F96">
        <w:t>oeuvre</w:t>
      </w:r>
      <w:proofErr w:type="spellEnd"/>
      <w:r w:rsidR="00D05F96">
        <w:t xml:space="preserve"> nécessite une </w:t>
      </w:r>
      <w:r w:rsidR="00D05F96">
        <w:rPr>
          <w:i/>
        </w:rPr>
        <w:t>formation à</w:t>
      </w:r>
      <w:r w:rsidR="00D05F96" w:rsidRPr="00A719FB">
        <w:rPr>
          <w:i/>
        </w:rPr>
        <w:t xml:space="preserve"> l’organisation</w:t>
      </w:r>
      <w:r w:rsidR="00D05F96">
        <w:t xml:space="preserve"> des travaux d’entretien et (iv) </w:t>
      </w:r>
      <w:r w:rsidR="001B183E">
        <w:t xml:space="preserve">un processus de dotation en </w:t>
      </w:r>
      <w:r w:rsidR="001B183E" w:rsidRPr="00A719FB">
        <w:rPr>
          <w:i/>
        </w:rPr>
        <w:t>équipements adéquats</w:t>
      </w:r>
      <w:r w:rsidR="00D05F96">
        <w:t xml:space="preserve"> d’entretien.</w:t>
      </w:r>
      <w:r w:rsidR="001B183E">
        <w:t xml:space="preserve"> </w:t>
      </w:r>
    </w:p>
    <w:p w:rsidR="00394081" w:rsidRDefault="00D05F96" w:rsidP="008C606B">
      <w:pPr>
        <w:spacing w:before="120"/>
        <w:jc w:val="both"/>
      </w:pPr>
      <w:r>
        <w:t>L</w:t>
      </w:r>
      <w:r w:rsidR="003B145E">
        <w:t xml:space="preserve">es études menées au Burkina Faso lors du pré-test et au Mali </w:t>
      </w:r>
      <w:r w:rsidR="00E018C3">
        <w:t xml:space="preserve">par la suite </w:t>
      </w:r>
      <w:r w:rsidR="003B145E">
        <w:t xml:space="preserve">ont permis de disposer d’une </w:t>
      </w:r>
      <w:r w:rsidR="003B145E" w:rsidRPr="00E018C3">
        <w:rPr>
          <w:i/>
        </w:rPr>
        <w:t>méthodologie générique</w:t>
      </w:r>
      <w:r w:rsidR="003B145E">
        <w:t xml:space="preserve"> – associant des mesures physique</w:t>
      </w:r>
      <w:r w:rsidR="00A719FB">
        <w:t>s</w:t>
      </w:r>
      <w:r w:rsidR="003B145E">
        <w:t xml:space="preserve"> et d’opinions à une analyse statistique approfondie – pour cerner de façon rigoureuse</w:t>
      </w:r>
      <w:r w:rsidR="00604D41">
        <w:t xml:space="preserve"> la perception des paysans et de leurs partenaire</w:t>
      </w:r>
      <w:r w:rsidR="003A43AB">
        <w:t>s</w:t>
      </w:r>
      <w:r w:rsidR="005A15A7">
        <w:t xml:space="preserve"> quant à  la </w:t>
      </w:r>
      <w:r w:rsidR="00604D41">
        <w:t xml:space="preserve">façon </w:t>
      </w:r>
      <w:r w:rsidR="005A15A7">
        <w:t xml:space="preserve">d’aborder </w:t>
      </w:r>
      <w:r w:rsidR="00604D41">
        <w:t>la question d’entretien des réseau</w:t>
      </w:r>
      <w:r w:rsidR="003A43AB">
        <w:t>x</w:t>
      </w:r>
      <w:r w:rsidR="00604D41">
        <w:t xml:space="preserve"> de drainage. </w:t>
      </w:r>
      <w:r w:rsidR="00246B46">
        <w:t>En déployant c</w:t>
      </w:r>
      <w:r w:rsidR="00604D41">
        <w:t xml:space="preserve">ette </w:t>
      </w:r>
      <w:r w:rsidR="00246B46" w:rsidRPr="00E018C3">
        <w:rPr>
          <w:i/>
        </w:rPr>
        <w:t>méthodologie</w:t>
      </w:r>
      <w:r w:rsidR="00E018C3" w:rsidRPr="00E018C3">
        <w:rPr>
          <w:i/>
        </w:rPr>
        <w:t xml:space="preserve"> générique</w:t>
      </w:r>
      <w:r w:rsidR="00246B46">
        <w:t xml:space="preserve"> sur des aménagements de typologies variées en Afrique de l’Ouest, de vaste</w:t>
      </w:r>
      <w:r w:rsidR="00A43EF2">
        <w:t>s</w:t>
      </w:r>
      <w:r w:rsidR="00246B46">
        <w:t xml:space="preserve"> programmes d’entretiens pourraient être initiés pour renforcer la durabilité des aménagement</w:t>
      </w:r>
      <w:r w:rsidR="00A43EF2">
        <w:t>s</w:t>
      </w:r>
      <w:r w:rsidR="00246B46">
        <w:t xml:space="preserve"> hydroagricoles.</w:t>
      </w:r>
    </w:p>
    <w:p w:rsidR="00A40609" w:rsidRDefault="00EC1212" w:rsidP="00F42BB6">
      <w:pPr>
        <w:pStyle w:val="Titre2"/>
      </w:pPr>
      <w:r>
        <w:t xml:space="preserve"> </w:t>
      </w:r>
      <w:r w:rsidR="003D76C1">
        <w:t>Propositions pour les futures investigations</w:t>
      </w:r>
    </w:p>
    <w:p w:rsidR="00E41E2F" w:rsidRDefault="00120F80" w:rsidP="007E7D1E">
      <w:pPr>
        <w:spacing w:before="120"/>
        <w:jc w:val="both"/>
        <w:rPr>
          <w:rFonts w:eastAsiaTheme="minorEastAsia"/>
          <w:kern w:val="24"/>
          <w:szCs w:val="20"/>
        </w:rPr>
      </w:pPr>
      <w:r>
        <w:rPr>
          <w:rFonts w:eastAsiaTheme="minorEastAsia"/>
          <w:kern w:val="24"/>
          <w:szCs w:val="20"/>
        </w:rPr>
        <w:t>La disponibilité d’une méthodologie</w:t>
      </w:r>
      <w:r w:rsidR="00964EBD">
        <w:rPr>
          <w:rFonts w:eastAsiaTheme="minorEastAsia"/>
          <w:kern w:val="24"/>
          <w:szCs w:val="20"/>
        </w:rPr>
        <w:t xml:space="preserve"> générique </w:t>
      </w:r>
      <w:r w:rsidR="00781937">
        <w:rPr>
          <w:rStyle w:val="Appelnotedebasdep"/>
          <w:rFonts w:eastAsiaTheme="minorEastAsia"/>
          <w:kern w:val="24"/>
          <w:szCs w:val="20"/>
        </w:rPr>
        <w:footnoteReference w:id="4"/>
      </w:r>
      <w:r>
        <w:rPr>
          <w:rFonts w:eastAsiaTheme="minorEastAsia"/>
          <w:kern w:val="24"/>
          <w:szCs w:val="20"/>
        </w:rPr>
        <w:t xml:space="preserve"> </w:t>
      </w:r>
      <w:r w:rsidR="00BC164E">
        <w:rPr>
          <w:rFonts w:eastAsiaTheme="minorEastAsia"/>
          <w:kern w:val="24"/>
          <w:szCs w:val="20"/>
        </w:rPr>
        <w:t xml:space="preserve">– </w:t>
      </w:r>
      <w:r>
        <w:rPr>
          <w:rFonts w:eastAsiaTheme="minorEastAsia"/>
          <w:kern w:val="24"/>
          <w:szCs w:val="20"/>
        </w:rPr>
        <w:t xml:space="preserve">combinant </w:t>
      </w:r>
      <w:r w:rsidR="00BC164E">
        <w:rPr>
          <w:rFonts w:eastAsiaTheme="minorEastAsia"/>
          <w:kern w:val="24"/>
          <w:szCs w:val="20"/>
        </w:rPr>
        <w:t xml:space="preserve">à la fois </w:t>
      </w:r>
      <w:r>
        <w:rPr>
          <w:rFonts w:eastAsiaTheme="minorEastAsia"/>
          <w:kern w:val="24"/>
          <w:szCs w:val="20"/>
        </w:rPr>
        <w:t>des mesures physiques et d’opinions</w:t>
      </w:r>
      <w:r w:rsidR="005152B8">
        <w:rPr>
          <w:rFonts w:eastAsiaTheme="minorEastAsia"/>
          <w:kern w:val="24"/>
          <w:szCs w:val="20"/>
        </w:rPr>
        <w:t xml:space="preserve"> avec </w:t>
      </w:r>
      <w:r w:rsidR="00BC164E">
        <w:rPr>
          <w:rFonts w:eastAsiaTheme="minorEastAsia"/>
          <w:kern w:val="24"/>
          <w:szCs w:val="20"/>
        </w:rPr>
        <w:t>un paquet de traitements statistiques</w:t>
      </w:r>
      <w:r w:rsidR="00F15D69">
        <w:rPr>
          <w:rFonts w:eastAsiaTheme="minorEastAsia"/>
          <w:kern w:val="24"/>
          <w:szCs w:val="20"/>
        </w:rPr>
        <w:t xml:space="preserve"> </w:t>
      </w:r>
      <w:r w:rsidR="00BC164E">
        <w:rPr>
          <w:rFonts w:eastAsiaTheme="minorEastAsia"/>
          <w:kern w:val="24"/>
          <w:szCs w:val="20"/>
        </w:rPr>
        <w:t xml:space="preserve">– </w:t>
      </w:r>
      <w:r w:rsidR="00F15D69">
        <w:rPr>
          <w:rFonts w:eastAsiaTheme="minorEastAsia"/>
          <w:kern w:val="24"/>
          <w:szCs w:val="20"/>
        </w:rPr>
        <w:t xml:space="preserve">qui peut être appliquée à la question d’entretien des réseaux de drainage est d’une importance primordiale. </w:t>
      </w:r>
      <w:r w:rsidR="00F15D69" w:rsidRPr="0045672B">
        <w:rPr>
          <w:szCs w:val="20"/>
        </w:rPr>
        <w:t>L’entretien des systèmes de drainage est une question récurrente dans les périmètres aménagés d’Afrique de l’Ouest.</w:t>
      </w:r>
      <w:r w:rsidR="00F15D69">
        <w:rPr>
          <w:szCs w:val="20"/>
        </w:rPr>
        <w:t xml:space="preserve"> Plusieurs facteurs peuvent rendre difficile l’élucidation des </w:t>
      </w:r>
      <w:r w:rsidR="00BC164E">
        <w:rPr>
          <w:szCs w:val="20"/>
        </w:rPr>
        <w:t xml:space="preserve">causes qui sous-tendent cette problématique. D’abord les modes de </w:t>
      </w:r>
      <w:r w:rsidR="005A15A7">
        <w:rPr>
          <w:szCs w:val="20"/>
        </w:rPr>
        <w:t>gestion</w:t>
      </w:r>
      <w:r w:rsidR="00BC164E">
        <w:rPr>
          <w:szCs w:val="20"/>
        </w:rPr>
        <w:t xml:space="preserve"> sont multiple</w:t>
      </w:r>
      <w:r w:rsidR="00261129">
        <w:rPr>
          <w:szCs w:val="20"/>
        </w:rPr>
        <w:t>s</w:t>
      </w:r>
      <w:r w:rsidR="00BC164E">
        <w:rPr>
          <w:szCs w:val="20"/>
        </w:rPr>
        <w:t> : i)</w:t>
      </w:r>
      <w:r w:rsidR="00F15D69">
        <w:rPr>
          <w:szCs w:val="20"/>
        </w:rPr>
        <w:t xml:space="preserve"> </w:t>
      </w:r>
      <w:r w:rsidR="00BC164E">
        <w:rPr>
          <w:szCs w:val="20"/>
        </w:rPr>
        <w:t>organismes para</w:t>
      </w:r>
      <w:r w:rsidR="00F15D69" w:rsidRPr="0045672B">
        <w:rPr>
          <w:szCs w:val="20"/>
        </w:rPr>
        <w:t>publics en charge de</w:t>
      </w:r>
      <w:r w:rsidR="00F15D69">
        <w:rPr>
          <w:szCs w:val="20"/>
        </w:rPr>
        <w:t xml:space="preserve">s ouvrages d’ordres supérieurs </w:t>
      </w:r>
      <w:r w:rsidR="00BC164E">
        <w:rPr>
          <w:szCs w:val="20"/>
        </w:rPr>
        <w:t>comme</w:t>
      </w:r>
      <w:r w:rsidR="00F15D69">
        <w:rPr>
          <w:szCs w:val="20"/>
        </w:rPr>
        <w:t xml:space="preserve"> </w:t>
      </w:r>
      <w:proofErr w:type="spellStart"/>
      <w:r w:rsidR="00F15D69" w:rsidRPr="0045672B">
        <w:rPr>
          <w:szCs w:val="20"/>
        </w:rPr>
        <w:t>Bagré</w:t>
      </w:r>
      <w:proofErr w:type="spellEnd"/>
      <w:r w:rsidR="00F15D69" w:rsidRPr="0045672B">
        <w:rPr>
          <w:szCs w:val="20"/>
        </w:rPr>
        <w:t>, AMVS au Burkina Faso; OPIB, ON au Mali; ONAHA au Niger</w:t>
      </w:r>
      <w:r w:rsidR="00BC164E">
        <w:rPr>
          <w:szCs w:val="20"/>
        </w:rPr>
        <w:t> ; ii)</w:t>
      </w:r>
      <w:r w:rsidR="00F15D69">
        <w:rPr>
          <w:szCs w:val="20"/>
        </w:rPr>
        <w:t xml:space="preserve"> </w:t>
      </w:r>
      <w:r w:rsidR="00F15D69" w:rsidRPr="0045672B">
        <w:rPr>
          <w:szCs w:val="20"/>
        </w:rPr>
        <w:t>organisations d’usagers ou groupements paysans</w:t>
      </w:r>
      <w:r w:rsidR="00BC164E">
        <w:rPr>
          <w:szCs w:val="20"/>
        </w:rPr>
        <w:t xml:space="preserve"> ; </w:t>
      </w:r>
      <w:r w:rsidR="003A43AB">
        <w:rPr>
          <w:szCs w:val="20"/>
        </w:rPr>
        <w:t>etc.</w:t>
      </w:r>
      <w:r>
        <w:rPr>
          <w:rFonts w:eastAsiaTheme="minorEastAsia"/>
          <w:kern w:val="24"/>
          <w:szCs w:val="20"/>
        </w:rPr>
        <w:t xml:space="preserve"> </w:t>
      </w:r>
      <w:r w:rsidR="00BC164E">
        <w:rPr>
          <w:rFonts w:eastAsiaTheme="minorEastAsia"/>
          <w:kern w:val="24"/>
          <w:szCs w:val="20"/>
        </w:rPr>
        <w:t>Ensuite, les tailles des aménagements et les types de système d’irrigation peuvent considérablement varier d’un endroit à un autre</w:t>
      </w:r>
      <w:r w:rsidR="00781937">
        <w:rPr>
          <w:rFonts w:eastAsiaTheme="minorEastAsia"/>
          <w:kern w:val="24"/>
          <w:szCs w:val="20"/>
        </w:rPr>
        <w:t>. En dépit de cette diversité de facteurs, la méthodologie proposée ici p</w:t>
      </w:r>
      <w:r w:rsidR="003A43AB">
        <w:rPr>
          <w:rFonts w:eastAsiaTheme="minorEastAsia"/>
          <w:kern w:val="24"/>
          <w:szCs w:val="20"/>
        </w:rPr>
        <w:t>e</w:t>
      </w:r>
      <w:r w:rsidR="00781937">
        <w:rPr>
          <w:rFonts w:eastAsiaTheme="minorEastAsia"/>
          <w:kern w:val="24"/>
          <w:szCs w:val="20"/>
        </w:rPr>
        <w:t>rm</w:t>
      </w:r>
      <w:r w:rsidR="003A43AB">
        <w:rPr>
          <w:rFonts w:eastAsiaTheme="minorEastAsia"/>
          <w:kern w:val="24"/>
          <w:szCs w:val="20"/>
        </w:rPr>
        <w:t>et</w:t>
      </w:r>
      <w:r w:rsidR="00781937">
        <w:rPr>
          <w:rFonts w:eastAsiaTheme="minorEastAsia"/>
          <w:kern w:val="24"/>
          <w:szCs w:val="20"/>
        </w:rPr>
        <w:t xml:space="preserve"> de déterminer avec rigueur les solutions opérationnelles avec un haut potentiel d’adhésion des principaux acteurs que sont les exploitants et les gestionnaires du système. </w:t>
      </w:r>
    </w:p>
    <w:p w:rsidR="00056F45" w:rsidRDefault="00E41E2F" w:rsidP="007E7D1E">
      <w:pPr>
        <w:spacing w:before="120"/>
        <w:jc w:val="both"/>
        <w:rPr>
          <w:lang w:val="fr-BE"/>
        </w:rPr>
      </w:pPr>
      <w:r>
        <w:rPr>
          <w:rFonts w:eastAsiaTheme="minorEastAsia"/>
          <w:kern w:val="24"/>
          <w:szCs w:val="20"/>
        </w:rPr>
        <w:t>Pour pouvoir proposer des opérations analogues – en fait des programmes d’amélioration des réseaux de drainage –</w:t>
      </w:r>
      <w:r w:rsidR="003A43AB">
        <w:rPr>
          <w:rFonts w:eastAsiaTheme="minorEastAsia"/>
          <w:kern w:val="24"/>
          <w:szCs w:val="20"/>
        </w:rPr>
        <w:t xml:space="preserve"> dans un certain</w:t>
      </w:r>
      <w:r>
        <w:rPr>
          <w:rFonts w:eastAsiaTheme="minorEastAsia"/>
          <w:kern w:val="24"/>
          <w:szCs w:val="20"/>
        </w:rPr>
        <w:t xml:space="preserve"> nombre de pays de l’Afrique de l’Ouest, il est capital d’appliquer la m</w:t>
      </w:r>
      <w:r w:rsidR="005A15A7">
        <w:rPr>
          <w:rFonts w:eastAsiaTheme="minorEastAsia"/>
          <w:kern w:val="24"/>
          <w:szCs w:val="20"/>
        </w:rPr>
        <w:t>éthodologie avec les améliorations</w:t>
      </w:r>
      <w:r>
        <w:rPr>
          <w:rFonts w:eastAsiaTheme="minorEastAsia"/>
          <w:kern w:val="24"/>
          <w:szCs w:val="20"/>
        </w:rPr>
        <w:t xml:space="preserve"> </w:t>
      </w:r>
      <w:r w:rsidR="003A43AB">
        <w:rPr>
          <w:rFonts w:eastAsiaTheme="minorEastAsia"/>
          <w:kern w:val="24"/>
          <w:szCs w:val="20"/>
        </w:rPr>
        <w:t>découlant</w:t>
      </w:r>
      <w:r>
        <w:rPr>
          <w:rFonts w:eastAsiaTheme="minorEastAsia"/>
          <w:kern w:val="24"/>
          <w:szCs w:val="20"/>
        </w:rPr>
        <w:t xml:space="preserve"> </w:t>
      </w:r>
      <w:r w:rsidR="005A15A7">
        <w:rPr>
          <w:rFonts w:eastAsiaTheme="minorEastAsia"/>
          <w:kern w:val="24"/>
          <w:szCs w:val="20"/>
        </w:rPr>
        <w:t>de son application</w:t>
      </w:r>
      <w:r>
        <w:rPr>
          <w:rFonts w:eastAsiaTheme="minorEastAsia"/>
          <w:kern w:val="24"/>
          <w:szCs w:val="20"/>
        </w:rPr>
        <w:t xml:space="preserve"> à Tiéfora (Burkina Faso) et B</w:t>
      </w:r>
      <w:r w:rsidR="005A15A7">
        <w:rPr>
          <w:rFonts w:eastAsiaTheme="minorEastAsia"/>
          <w:kern w:val="24"/>
          <w:szCs w:val="20"/>
        </w:rPr>
        <w:t>aguinéda (Mali). Ces améliorations</w:t>
      </w:r>
      <w:r>
        <w:rPr>
          <w:rFonts w:eastAsiaTheme="minorEastAsia"/>
          <w:kern w:val="24"/>
          <w:szCs w:val="20"/>
        </w:rPr>
        <w:t xml:space="preserve"> amènent à proposer </w:t>
      </w:r>
      <w:r w:rsidR="004B69EA">
        <w:rPr>
          <w:lang w:val="fr-BE"/>
        </w:rPr>
        <w:t>les t</w:t>
      </w:r>
      <w:r w:rsidR="00056F45">
        <w:rPr>
          <w:lang w:val="fr-BE"/>
        </w:rPr>
        <w:t xml:space="preserve">hèmes </w:t>
      </w:r>
      <w:r w:rsidR="004B69EA">
        <w:rPr>
          <w:lang w:val="fr-BE"/>
        </w:rPr>
        <w:t xml:space="preserve">et réponses anticipées suivants </w:t>
      </w:r>
      <w:r>
        <w:rPr>
          <w:lang w:val="fr-BE"/>
        </w:rPr>
        <w:t>pour les futur</w:t>
      </w:r>
      <w:r w:rsidR="003A43AB">
        <w:rPr>
          <w:lang w:val="fr-BE"/>
        </w:rPr>
        <w:t>e</w:t>
      </w:r>
      <w:r>
        <w:rPr>
          <w:lang w:val="fr-BE"/>
        </w:rPr>
        <w:t>s études</w:t>
      </w:r>
      <w:r w:rsidR="004B69EA">
        <w:rPr>
          <w:lang w:val="fr-BE"/>
        </w:rPr>
        <w:t> :</w:t>
      </w:r>
    </w:p>
    <w:p w:rsidR="00F43ACA" w:rsidRDefault="00F43ACA" w:rsidP="00E41E2F">
      <w:pPr>
        <w:pStyle w:val="Paragraphedeliste"/>
        <w:numPr>
          <w:ilvl w:val="0"/>
          <w:numId w:val="17"/>
        </w:numPr>
        <w:rPr>
          <w:lang w:val="fr-BE"/>
        </w:rPr>
      </w:pPr>
      <w:r>
        <w:rPr>
          <w:lang w:val="fr-BE"/>
        </w:rPr>
        <w:t>L</w:t>
      </w:r>
      <w:r w:rsidR="004B69EA">
        <w:rPr>
          <w:lang w:val="fr-BE"/>
        </w:rPr>
        <w:t>a</w:t>
      </w:r>
      <w:r>
        <w:rPr>
          <w:lang w:val="fr-BE"/>
        </w:rPr>
        <w:t xml:space="preserve"> </w:t>
      </w:r>
      <w:r w:rsidR="004B69EA">
        <w:rPr>
          <w:b/>
          <w:lang w:val="fr-BE"/>
        </w:rPr>
        <w:t>fonction</w:t>
      </w:r>
      <w:r w:rsidR="004B69EA">
        <w:rPr>
          <w:lang w:val="fr-BE"/>
        </w:rPr>
        <w:t xml:space="preserve"> des drains est :</w:t>
      </w:r>
    </w:p>
    <w:p w:rsidR="00F43ACA" w:rsidRDefault="00F43ACA" w:rsidP="00F43ACA">
      <w:pPr>
        <w:pStyle w:val="Paragraphedeliste"/>
        <w:numPr>
          <w:ilvl w:val="1"/>
          <w:numId w:val="6"/>
        </w:numPr>
        <w:rPr>
          <w:lang w:val="fr-BE"/>
        </w:rPr>
      </w:pPr>
      <w:r>
        <w:rPr>
          <w:lang w:val="fr-BE"/>
        </w:rPr>
        <w:t>Servir de palliatif au manque d’eau</w:t>
      </w:r>
    </w:p>
    <w:p w:rsidR="00F43ACA" w:rsidRPr="00F43ACA" w:rsidRDefault="004B69EA" w:rsidP="00F43ACA">
      <w:pPr>
        <w:pStyle w:val="Paragraphedeliste"/>
        <w:numPr>
          <w:ilvl w:val="1"/>
          <w:numId w:val="6"/>
        </w:numPr>
        <w:rPr>
          <w:lang w:val="fr-BE"/>
        </w:rPr>
      </w:pPr>
      <w:r>
        <w:rPr>
          <w:lang w:val="fr-BE"/>
        </w:rPr>
        <w:t>É</w:t>
      </w:r>
      <w:r w:rsidRPr="00F43ACA">
        <w:rPr>
          <w:lang w:val="fr-BE"/>
        </w:rPr>
        <w:t>viter</w:t>
      </w:r>
      <w:r w:rsidR="00F43ACA" w:rsidRPr="00F43ACA">
        <w:rPr>
          <w:lang w:val="fr-BE"/>
        </w:rPr>
        <w:t xml:space="preserve"> l’inondation des parcelles ;</w:t>
      </w:r>
    </w:p>
    <w:p w:rsidR="00F43ACA" w:rsidRPr="00F43ACA" w:rsidRDefault="00F43ACA" w:rsidP="00F43ACA">
      <w:pPr>
        <w:pStyle w:val="Paragraphedeliste"/>
        <w:numPr>
          <w:ilvl w:val="1"/>
          <w:numId w:val="6"/>
        </w:numPr>
        <w:rPr>
          <w:lang w:val="fr-BE"/>
        </w:rPr>
      </w:pPr>
      <w:r w:rsidRPr="00F43ACA">
        <w:rPr>
          <w:lang w:val="fr-BE"/>
        </w:rPr>
        <w:t xml:space="preserve">Améliorer les conditions de travail </w:t>
      </w:r>
      <w:r>
        <w:rPr>
          <w:lang w:val="fr-BE"/>
        </w:rPr>
        <w:t>durant le repiquage</w:t>
      </w:r>
      <w:r w:rsidRPr="00F43ACA">
        <w:rPr>
          <w:lang w:val="fr-BE"/>
        </w:rPr>
        <w:t>;</w:t>
      </w:r>
    </w:p>
    <w:p w:rsidR="00F43ACA" w:rsidRPr="00F43ACA" w:rsidRDefault="00F43ACA" w:rsidP="00F43ACA">
      <w:pPr>
        <w:pStyle w:val="Paragraphedeliste"/>
        <w:numPr>
          <w:ilvl w:val="1"/>
          <w:numId w:val="6"/>
        </w:numPr>
        <w:rPr>
          <w:lang w:val="fr-BE"/>
        </w:rPr>
      </w:pPr>
      <w:r>
        <w:rPr>
          <w:lang w:val="fr-BE"/>
        </w:rPr>
        <w:t>Améliorer</w:t>
      </w:r>
      <w:r w:rsidRPr="00F43ACA">
        <w:rPr>
          <w:lang w:val="fr-BE"/>
        </w:rPr>
        <w:t xml:space="preserve"> l’effet de l’engrais sur les cultures ;</w:t>
      </w:r>
    </w:p>
    <w:p w:rsidR="00F43ACA" w:rsidRPr="00F43ACA" w:rsidRDefault="00F43ACA" w:rsidP="00F43ACA">
      <w:pPr>
        <w:pStyle w:val="Paragraphedeliste"/>
        <w:numPr>
          <w:ilvl w:val="1"/>
          <w:numId w:val="6"/>
        </w:numPr>
        <w:rPr>
          <w:lang w:val="fr-BE"/>
        </w:rPr>
      </w:pPr>
      <w:r>
        <w:rPr>
          <w:lang w:val="fr-BE"/>
        </w:rPr>
        <w:t>Autre</w:t>
      </w:r>
    </w:p>
    <w:p w:rsidR="00E41E2F" w:rsidRDefault="00E41E2F" w:rsidP="00E41E2F">
      <w:pPr>
        <w:pStyle w:val="Paragraphedeliste"/>
        <w:numPr>
          <w:ilvl w:val="0"/>
          <w:numId w:val="17"/>
        </w:numPr>
        <w:rPr>
          <w:lang w:val="fr-BE"/>
        </w:rPr>
      </w:pPr>
      <w:r>
        <w:rPr>
          <w:lang w:val="fr-BE"/>
        </w:rPr>
        <w:t xml:space="preserve">Le manque d’entretien des drains a pour </w:t>
      </w:r>
      <w:r w:rsidRPr="00F5298B">
        <w:rPr>
          <w:b/>
          <w:lang w:val="fr-BE"/>
        </w:rPr>
        <w:t>conséquence</w:t>
      </w:r>
      <w:r>
        <w:rPr>
          <w:lang w:val="fr-BE"/>
        </w:rPr>
        <w:t> pour ma parcelle</w:t>
      </w:r>
    </w:p>
    <w:p w:rsidR="00056F45" w:rsidRDefault="00166C43" w:rsidP="00F43ACA">
      <w:pPr>
        <w:pStyle w:val="Paragraphedeliste"/>
        <w:numPr>
          <w:ilvl w:val="1"/>
          <w:numId w:val="7"/>
        </w:numPr>
        <w:rPr>
          <w:lang w:val="fr-BE"/>
        </w:rPr>
      </w:pPr>
      <w:r>
        <w:rPr>
          <w:lang w:val="fr-BE"/>
        </w:rPr>
        <w:lastRenderedPageBreak/>
        <w:t>Une réduction pénalisante de m</w:t>
      </w:r>
      <w:r w:rsidR="00056F45">
        <w:rPr>
          <w:lang w:val="fr-BE"/>
        </w:rPr>
        <w:t>on rendement de culture (préciser la culture)</w:t>
      </w:r>
    </w:p>
    <w:p w:rsidR="00CC7157" w:rsidRDefault="00CC7157" w:rsidP="00F43ACA">
      <w:pPr>
        <w:pStyle w:val="Paragraphedeliste"/>
        <w:numPr>
          <w:ilvl w:val="1"/>
          <w:numId w:val="7"/>
        </w:numPr>
        <w:rPr>
          <w:lang w:val="fr-BE"/>
        </w:rPr>
      </w:pPr>
      <w:r>
        <w:rPr>
          <w:lang w:val="fr-BE"/>
        </w:rPr>
        <w:t>L’attaque des sols par la salinité</w:t>
      </w:r>
      <w:r w:rsidR="0012665E">
        <w:rPr>
          <w:rStyle w:val="Appelnotedebasdep"/>
          <w:lang w:val="fr-BE"/>
        </w:rPr>
        <w:footnoteReference w:id="5"/>
      </w:r>
    </w:p>
    <w:p w:rsidR="00056F45" w:rsidRDefault="00166C43" w:rsidP="00F43ACA">
      <w:pPr>
        <w:pStyle w:val="Paragraphedeliste"/>
        <w:numPr>
          <w:ilvl w:val="1"/>
          <w:numId w:val="7"/>
        </w:numPr>
        <w:rPr>
          <w:lang w:val="fr-BE"/>
        </w:rPr>
      </w:pPr>
      <w:r>
        <w:rPr>
          <w:lang w:val="fr-BE"/>
        </w:rPr>
        <w:t>Le développement sensible de</w:t>
      </w:r>
      <w:r w:rsidR="00056F45">
        <w:rPr>
          <w:lang w:val="fr-BE"/>
        </w:rPr>
        <w:t xml:space="preserve"> </w:t>
      </w:r>
      <w:r w:rsidR="003A43AB">
        <w:rPr>
          <w:lang w:val="fr-BE"/>
        </w:rPr>
        <w:t xml:space="preserve">la </w:t>
      </w:r>
      <w:r w:rsidR="00056F45">
        <w:rPr>
          <w:lang w:val="fr-BE"/>
        </w:rPr>
        <w:t>toxicité ferreuse</w:t>
      </w:r>
      <w:r w:rsidR="0012665E">
        <w:rPr>
          <w:rStyle w:val="Appelnotedebasdep"/>
          <w:lang w:val="fr-BE"/>
        </w:rPr>
        <w:footnoteReference w:id="6"/>
      </w:r>
      <w:r w:rsidR="00056F45">
        <w:rPr>
          <w:lang w:val="fr-BE"/>
        </w:rPr>
        <w:t xml:space="preserve"> </w:t>
      </w:r>
    </w:p>
    <w:p w:rsidR="00957405" w:rsidRDefault="00957405" w:rsidP="00F43ACA">
      <w:pPr>
        <w:pStyle w:val="Paragraphedeliste"/>
        <w:numPr>
          <w:ilvl w:val="1"/>
          <w:numId w:val="7"/>
        </w:numPr>
        <w:rPr>
          <w:lang w:val="fr-BE"/>
        </w:rPr>
      </w:pPr>
      <w:r>
        <w:rPr>
          <w:lang w:val="fr-BE"/>
        </w:rPr>
        <w:t>L’infestation des cultures</w:t>
      </w:r>
    </w:p>
    <w:p w:rsidR="00D3286E" w:rsidRDefault="00D3286E" w:rsidP="00F43ACA">
      <w:pPr>
        <w:pStyle w:val="Paragraphedeliste"/>
        <w:numPr>
          <w:ilvl w:val="1"/>
          <w:numId w:val="7"/>
        </w:numPr>
        <w:rPr>
          <w:lang w:val="fr-BE"/>
        </w:rPr>
      </w:pPr>
      <w:r>
        <w:rPr>
          <w:lang w:val="fr-BE"/>
        </w:rPr>
        <w:t>La destruction de la récolte en cas de grosses pluies</w:t>
      </w:r>
    </w:p>
    <w:p w:rsidR="00056F45" w:rsidRDefault="00056F45" w:rsidP="00F43ACA">
      <w:pPr>
        <w:pStyle w:val="Paragraphedeliste"/>
        <w:numPr>
          <w:ilvl w:val="1"/>
          <w:numId w:val="7"/>
        </w:numPr>
        <w:rPr>
          <w:lang w:val="fr-BE"/>
        </w:rPr>
      </w:pPr>
      <w:r>
        <w:rPr>
          <w:lang w:val="fr-BE"/>
        </w:rPr>
        <w:t>L’amélioration d</w:t>
      </w:r>
      <w:r w:rsidR="0012665E">
        <w:rPr>
          <w:lang w:val="fr-BE"/>
        </w:rPr>
        <w:t>u tour d’irrigation</w:t>
      </w:r>
      <w:r>
        <w:rPr>
          <w:lang w:val="fr-BE"/>
        </w:rPr>
        <w:t xml:space="preserve"> (préciser o</w:t>
      </w:r>
      <w:r w:rsidR="00166C43">
        <w:rPr>
          <w:lang w:val="fr-BE"/>
        </w:rPr>
        <w:t>ù</w:t>
      </w:r>
      <w:r w:rsidR="007E09DE">
        <w:rPr>
          <w:rStyle w:val="Appelnotedebasdep"/>
          <w:lang w:val="fr-BE"/>
        </w:rPr>
        <w:footnoteReference w:id="7"/>
      </w:r>
      <w:r>
        <w:rPr>
          <w:lang w:val="fr-BE"/>
        </w:rPr>
        <w:t>)</w:t>
      </w:r>
    </w:p>
    <w:p w:rsidR="000B4705" w:rsidRDefault="000B4705" w:rsidP="00F43ACA">
      <w:pPr>
        <w:pStyle w:val="Paragraphedeliste"/>
        <w:numPr>
          <w:ilvl w:val="1"/>
          <w:numId w:val="7"/>
        </w:numPr>
        <w:rPr>
          <w:lang w:val="fr-BE"/>
        </w:rPr>
      </w:pPr>
      <w:r>
        <w:rPr>
          <w:lang w:val="fr-BE"/>
        </w:rPr>
        <w:t>Autre</w:t>
      </w:r>
    </w:p>
    <w:p w:rsidR="00C30F2E" w:rsidRDefault="00C30F2E" w:rsidP="00E41E2F">
      <w:pPr>
        <w:pStyle w:val="Paragraphedeliste"/>
        <w:numPr>
          <w:ilvl w:val="0"/>
          <w:numId w:val="17"/>
        </w:numPr>
        <w:rPr>
          <w:lang w:val="fr-BE"/>
        </w:rPr>
      </w:pPr>
      <w:r>
        <w:rPr>
          <w:lang w:val="fr-BE"/>
        </w:rPr>
        <w:t>L</w:t>
      </w:r>
      <w:r w:rsidR="00F5298B">
        <w:rPr>
          <w:lang w:val="fr-BE"/>
        </w:rPr>
        <w:t>e manque d</w:t>
      </w:r>
      <w:r>
        <w:rPr>
          <w:lang w:val="fr-BE"/>
        </w:rPr>
        <w:t xml:space="preserve">’entretien des drains </w:t>
      </w:r>
      <w:r w:rsidR="00344A7D">
        <w:rPr>
          <w:lang w:val="fr-BE"/>
        </w:rPr>
        <w:t xml:space="preserve">(secondaires et tertiaires) </w:t>
      </w:r>
      <w:r>
        <w:rPr>
          <w:lang w:val="fr-BE"/>
        </w:rPr>
        <w:t xml:space="preserve">serait </w:t>
      </w:r>
      <w:r w:rsidR="00F5298B" w:rsidRPr="003A43AB">
        <w:rPr>
          <w:b/>
          <w:lang w:val="fr-BE"/>
        </w:rPr>
        <w:t>solutionné</w:t>
      </w:r>
      <w:r>
        <w:rPr>
          <w:lang w:val="fr-BE"/>
        </w:rPr>
        <w:t xml:space="preserve"> si :</w:t>
      </w:r>
    </w:p>
    <w:p w:rsidR="00344A7D" w:rsidRDefault="00344A7D" w:rsidP="00F43ACA">
      <w:pPr>
        <w:pStyle w:val="Paragraphedeliste"/>
        <w:numPr>
          <w:ilvl w:val="1"/>
          <w:numId w:val="8"/>
        </w:numPr>
        <w:rPr>
          <w:lang w:val="fr-BE"/>
        </w:rPr>
      </w:pPr>
      <w:r>
        <w:rPr>
          <w:lang w:val="fr-BE"/>
        </w:rPr>
        <w:t xml:space="preserve">On confiait tout à l’organisation qui gère le périmètre (e.g. </w:t>
      </w:r>
      <w:r w:rsidR="00D258A4">
        <w:rPr>
          <w:lang w:val="fr-BE"/>
        </w:rPr>
        <w:t>SAGI</w:t>
      </w:r>
      <w:r w:rsidR="00D258A4">
        <w:rPr>
          <w:rStyle w:val="Appelnotedebasdep"/>
          <w:lang w:val="fr-BE"/>
        </w:rPr>
        <w:footnoteReference w:id="8"/>
      </w:r>
      <w:r>
        <w:rPr>
          <w:lang w:val="fr-BE"/>
        </w:rPr>
        <w:t>)</w:t>
      </w:r>
    </w:p>
    <w:p w:rsidR="008A7CD8" w:rsidRDefault="008A7CD8" w:rsidP="00F43ACA">
      <w:pPr>
        <w:pStyle w:val="Paragraphedeliste"/>
        <w:numPr>
          <w:ilvl w:val="1"/>
          <w:numId w:val="8"/>
        </w:numPr>
        <w:rPr>
          <w:lang w:val="fr-BE"/>
        </w:rPr>
      </w:pPr>
      <w:r>
        <w:rPr>
          <w:lang w:val="fr-BE"/>
        </w:rPr>
        <w:t xml:space="preserve">L’on procédait par contrat de maintenance (CM) avec une entreprise </w:t>
      </w:r>
    </w:p>
    <w:p w:rsidR="00C30F2E" w:rsidRDefault="00C30F2E" w:rsidP="00F43ACA">
      <w:pPr>
        <w:pStyle w:val="Paragraphedeliste"/>
        <w:numPr>
          <w:ilvl w:val="1"/>
          <w:numId w:val="8"/>
        </w:numPr>
        <w:rPr>
          <w:lang w:val="fr-BE"/>
        </w:rPr>
      </w:pPr>
      <w:r>
        <w:rPr>
          <w:lang w:val="fr-BE"/>
        </w:rPr>
        <w:t xml:space="preserve">Nous les exploitants bénéficiions d’une formation </w:t>
      </w:r>
      <w:r w:rsidR="00EA4AA5">
        <w:rPr>
          <w:lang w:val="fr-BE"/>
        </w:rPr>
        <w:t>sur le travail d’équipe relatif au drainage</w:t>
      </w:r>
    </w:p>
    <w:p w:rsidR="00D258A4" w:rsidRDefault="00D258A4" w:rsidP="00F43ACA">
      <w:pPr>
        <w:pStyle w:val="Paragraphedeliste"/>
        <w:numPr>
          <w:ilvl w:val="1"/>
          <w:numId w:val="8"/>
        </w:numPr>
        <w:rPr>
          <w:lang w:val="fr-BE"/>
        </w:rPr>
      </w:pPr>
      <w:r>
        <w:rPr>
          <w:lang w:val="fr-BE"/>
        </w:rPr>
        <w:t>Nous les exploitants bénéficiions d’un appui à la coordination par un</w:t>
      </w:r>
      <w:r w:rsidR="003A43AB">
        <w:rPr>
          <w:lang w:val="fr-BE"/>
        </w:rPr>
        <w:t>e</w:t>
      </w:r>
      <w:r>
        <w:rPr>
          <w:lang w:val="fr-BE"/>
        </w:rPr>
        <w:t xml:space="preserve"> entité externe (e.g. SAGI)</w:t>
      </w:r>
    </w:p>
    <w:p w:rsidR="00F31FC1" w:rsidRPr="00F31FC1" w:rsidRDefault="00AA26FE" w:rsidP="00F43ACA">
      <w:pPr>
        <w:pStyle w:val="Paragraphedeliste"/>
        <w:numPr>
          <w:ilvl w:val="1"/>
          <w:numId w:val="8"/>
        </w:numPr>
        <w:rPr>
          <w:lang w:val="fr-BE"/>
        </w:rPr>
      </w:pPr>
      <w:r>
        <w:rPr>
          <w:lang w:val="fr-BE"/>
        </w:rPr>
        <w:t>Chacun de nous était doté du matériel approprié pour cela</w:t>
      </w:r>
      <w:r w:rsidR="00F31FC1">
        <w:rPr>
          <w:lang w:val="fr-BE"/>
        </w:rPr>
        <w:t xml:space="preserve"> (Kit2, Kit3 ?)</w:t>
      </w:r>
    </w:p>
    <w:p w:rsidR="00AA26FE" w:rsidRDefault="00AA26FE" w:rsidP="00F43ACA">
      <w:pPr>
        <w:pStyle w:val="Paragraphedeliste"/>
        <w:numPr>
          <w:ilvl w:val="1"/>
          <w:numId w:val="8"/>
        </w:numPr>
        <w:rPr>
          <w:lang w:val="fr-BE"/>
        </w:rPr>
      </w:pPr>
      <w:r>
        <w:rPr>
          <w:lang w:val="fr-BE"/>
        </w:rPr>
        <w:t xml:space="preserve">On mettait </w:t>
      </w:r>
      <w:r w:rsidR="005120FB">
        <w:rPr>
          <w:lang w:val="fr-BE"/>
        </w:rPr>
        <w:t>davantage</w:t>
      </w:r>
      <w:r>
        <w:rPr>
          <w:lang w:val="fr-BE"/>
        </w:rPr>
        <w:t xml:space="preserve"> priorité sur les cultures maraîchères que le riz</w:t>
      </w:r>
    </w:p>
    <w:p w:rsidR="00987BBF" w:rsidRDefault="00175916" w:rsidP="00F43ACA">
      <w:pPr>
        <w:pStyle w:val="Paragraphedeliste"/>
        <w:numPr>
          <w:ilvl w:val="1"/>
          <w:numId w:val="8"/>
        </w:numPr>
        <w:rPr>
          <w:lang w:val="fr-BE"/>
        </w:rPr>
      </w:pPr>
      <w:r>
        <w:rPr>
          <w:lang w:val="fr-BE"/>
        </w:rPr>
        <w:t>Ma parcelle avait une quantité d’eau suffisante (dire raison d’insuffisance</w:t>
      </w:r>
      <w:r w:rsidR="00987BBF">
        <w:rPr>
          <w:lang w:val="fr-BE"/>
        </w:rPr>
        <w:t> : tour d’eau perturbé, sols trop filtrants</w:t>
      </w:r>
      <w:r w:rsidR="0012665E">
        <w:rPr>
          <w:rStyle w:val="Appelnotedebasdep"/>
          <w:lang w:val="fr-BE"/>
        </w:rPr>
        <w:footnoteReference w:id="9"/>
      </w:r>
      <w:r w:rsidR="00987BBF">
        <w:rPr>
          <w:lang w:val="fr-BE"/>
        </w:rPr>
        <w:t xml:space="preserve"> etc.</w:t>
      </w:r>
      <w:r>
        <w:rPr>
          <w:lang w:val="fr-BE"/>
        </w:rPr>
        <w:t>)</w:t>
      </w:r>
      <w:r w:rsidR="00987BBF" w:rsidRPr="00987BBF">
        <w:rPr>
          <w:lang w:val="fr-BE"/>
        </w:rPr>
        <w:t xml:space="preserve"> </w:t>
      </w:r>
    </w:p>
    <w:p w:rsidR="00175916" w:rsidRPr="00F31FC1" w:rsidRDefault="00987BBF" w:rsidP="00F43ACA">
      <w:pPr>
        <w:pStyle w:val="Paragraphedeliste"/>
        <w:numPr>
          <w:ilvl w:val="1"/>
          <w:numId w:val="8"/>
        </w:numPr>
        <w:rPr>
          <w:lang w:val="fr-BE"/>
        </w:rPr>
      </w:pPr>
      <w:r>
        <w:rPr>
          <w:lang w:val="fr-BE"/>
        </w:rPr>
        <w:t>On laissait les exploitants faire selon sa convenance</w:t>
      </w:r>
    </w:p>
    <w:p w:rsidR="00AA26FE" w:rsidRDefault="00AA26FE" w:rsidP="00F43ACA">
      <w:pPr>
        <w:pStyle w:val="Paragraphedeliste"/>
        <w:numPr>
          <w:ilvl w:val="1"/>
          <w:numId w:val="8"/>
        </w:numPr>
        <w:rPr>
          <w:lang w:val="fr-BE"/>
        </w:rPr>
      </w:pPr>
      <w:r>
        <w:rPr>
          <w:lang w:val="fr-BE"/>
        </w:rPr>
        <w:t>Autre</w:t>
      </w:r>
    </w:p>
    <w:p w:rsidR="00863FC3" w:rsidRDefault="006C5151" w:rsidP="00863FC3">
      <w:pPr>
        <w:rPr>
          <w:lang w:val="fr-BE"/>
        </w:rPr>
      </w:pPr>
      <w:r>
        <w:rPr>
          <w:lang w:val="fr-BE"/>
        </w:rPr>
        <w:t xml:space="preserve">Le </w:t>
      </w:r>
      <w:r w:rsidR="00E018C3">
        <w:rPr>
          <w:lang w:val="fr-BE"/>
        </w:rPr>
        <w:t>paquet</w:t>
      </w:r>
      <w:r w:rsidR="007060D6">
        <w:rPr>
          <w:lang w:val="fr-BE"/>
        </w:rPr>
        <w:t xml:space="preserve"> </w:t>
      </w:r>
      <w:r>
        <w:rPr>
          <w:lang w:val="fr-BE"/>
        </w:rPr>
        <w:t xml:space="preserve">matériel </w:t>
      </w:r>
      <w:r w:rsidR="003D76C1">
        <w:rPr>
          <w:lang w:val="fr-BE"/>
        </w:rPr>
        <w:t xml:space="preserve">– </w:t>
      </w:r>
      <w:r w:rsidR="00E41E2F">
        <w:rPr>
          <w:lang w:val="fr-BE"/>
        </w:rPr>
        <w:t>partie intégrante</w:t>
      </w:r>
      <w:r w:rsidR="003D76C1">
        <w:rPr>
          <w:lang w:val="fr-BE"/>
        </w:rPr>
        <w:t xml:space="preserve"> de la méthodologie –</w:t>
      </w:r>
      <w:r>
        <w:rPr>
          <w:lang w:val="fr-BE"/>
        </w:rPr>
        <w:t xml:space="preserve"> </w:t>
      </w:r>
      <w:r w:rsidR="003D76C1">
        <w:rPr>
          <w:lang w:val="fr-BE"/>
        </w:rPr>
        <w:t xml:space="preserve">qui procure le moyen de faire des mesures physiques et d’opinions </w:t>
      </w:r>
      <w:r w:rsidR="003D76C1" w:rsidRPr="003D76C1">
        <w:rPr>
          <w:i/>
          <w:lang w:val="fr-BE"/>
        </w:rPr>
        <w:t>in situ</w:t>
      </w:r>
      <w:r w:rsidR="003D76C1">
        <w:rPr>
          <w:lang w:val="fr-BE"/>
        </w:rPr>
        <w:t xml:space="preserve"> adaptées à une analyse statistique rigoureuse </w:t>
      </w:r>
      <w:r w:rsidR="003D650B">
        <w:rPr>
          <w:lang w:val="fr-BE"/>
        </w:rPr>
        <w:t>serait de disposer</w:t>
      </w:r>
      <w:r>
        <w:rPr>
          <w:lang w:val="fr-BE"/>
        </w:rPr>
        <w:t> :</w:t>
      </w:r>
    </w:p>
    <w:p w:rsidR="006C5151" w:rsidRPr="007060D6" w:rsidRDefault="007060D6" w:rsidP="007060D6">
      <w:pPr>
        <w:pStyle w:val="Paragraphedeliste"/>
        <w:numPr>
          <w:ilvl w:val="0"/>
          <w:numId w:val="16"/>
        </w:numPr>
        <w:rPr>
          <w:lang w:val="fr-BE"/>
        </w:rPr>
      </w:pPr>
      <w:r w:rsidRPr="007060D6">
        <w:rPr>
          <w:lang w:val="fr-BE"/>
        </w:rPr>
        <w:t>d’</w:t>
      </w:r>
      <w:r>
        <w:rPr>
          <w:lang w:val="fr-BE"/>
        </w:rPr>
        <w:t>un</w:t>
      </w:r>
      <w:r w:rsidR="006C5151" w:rsidRPr="007060D6">
        <w:rPr>
          <w:lang w:val="fr-BE"/>
        </w:rPr>
        <w:t xml:space="preserve"> WASO</w:t>
      </w:r>
      <w:r w:rsidR="005F1878" w:rsidRPr="007060D6">
        <w:rPr>
          <w:lang w:val="fr-BE"/>
        </w:rPr>
        <w:t xml:space="preserve"> pour les mesures objectives d’intensité d’opinion des acteurs</w:t>
      </w:r>
    </w:p>
    <w:p w:rsidR="007060D6" w:rsidRDefault="007060D6" w:rsidP="007060D6">
      <w:pPr>
        <w:pStyle w:val="Paragraphedeliste"/>
        <w:numPr>
          <w:ilvl w:val="0"/>
          <w:numId w:val="16"/>
        </w:numPr>
        <w:rPr>
          <w:lang w:val="fr-BE"/>
        </w:rPr>
      </w:pPr>
      <w:r>
        <w:rPr>
          <w:lang w:val="fr-BE"/>
        </w:rPr>
        <w:t>d’un infiltromètre double anneau en PVC pour la mesure de la perméabilité</w:t>
      </w:r>
    </w:p>
    <w:p w:rsidR="006C5151" w:rsidRDefault="006C5151" w:rsidP="007060D6">
      <w:pPr>
        <w:pStyle w:val="Paragraphedeliste"/>
        <w:numPr>
          <w:ilvl w:val="0"/>
          <w:numId w:val="16"/>
        </w:numPr>
        <w:rPr>
          <w:lang w:val="fr-BE"/>
        </w:rPr>
      </w:pPr>
      <w:r>
        <w:rPr>
          <w:lang w:val="fr-BE"/>
        </w:rPr>
        <w:t>d’un conductivimètre pour les mesures de la salinité</w:t>
      </w:r>
    </w:p>
    <w:p w:rsidR="006C5151" w:rsidRDefault="006C5151" w:rsidP="007060D6">
      <w:pPr>
        <w:pStyle w:val="Paragraphedeliste"/>
        <w:numPr>
          <w:ilvl w:val="0"/>
          <w:numId w:val="16"/>
        </w:numPr>
        <w:rPr>
          <w:lang w:val="fr-BE"/>
        </w:rPr>
      </w:pPr>
      <w:r>
        <w:rPr>
          <w:lang w:val="fr-BE"/>
        </w:rPr>
        <w:t xml:space="preserve">d’un réflectomètre </w:t>
      </w:r>
      <w:r w:rsidR="003D76C1">
        <w:rPr>
          <w:lang w:val="fr-BE"/>
        </w:rPr>
        <w:t xml:space="preserve">(ex. RQ-Flex Plus 10) </w:t>
      </w:r>
      <w:r>
        <w:rPr>
          <w:lang w:val="fr-BE"/>
        </w:rPr>
        <w:t>pour la mesure de la concentration en fer ferreux du sol</w:t>
      </w:r>
    </w:p>
    <w:p w:rsidR="006C5151" w:rsidRDefault="006C5151" w:rsidP="007060D6">
      <w:pPr>
        <w:pStyle w:val="Paragraphedeliste"/>
        <w:numPr>
          <w:ilvl w:val="0"/>
          <w:numId w:val="16"/>
        </w:numPr>
        <w:rPr>
          <w:lang w:val="fr-BE"/>
        </w:rPr>
      </w:pPr>
      <w:r>
        <w:rPr>
          <w:lang w:val="fr-BE"/>
        </w:rPr>
        <w:t>d’un pH-mètre pour me</w:t>
      </w:r>
      <w:r w:rsidR="003D76C1">
        <w:rPr>
          <w:lang w:val="fr-BE"/>
        </w:rPr>
        <w:t>surer l’acidité des sols</w:t>
      </w:r>
    </w:p>
    <w:p w:rsidR="007060D6" w:rsidRPr="007060D6" w:rsidRDefault="007060D6" w:rsidP="007060D6">
      <w:pPr>
        <w:pStyle w:val="Paragraphedeliste"/>
        <w:numPr>
          <w:ilvl w:val="0"/>
          <w:numId w:val="16"/>
        </w:numPr>
      </w:pPr>
      <w:r w:rsidRPr="007060D6">
        <w:t>d’un kit mini topo avec</w:t>
      </w:r>
      <w:r>
        <w:t xml:space="preserve"> trépied à viseur laser</w:t>
      </w:r>
    </w:p>
    <w:p w:rsidR="006C5151" w:rsidRDefault="006C5151" w:rsidP="007060D6">
      <w:pPr>
        <w:pStyle w:val="Paragraphedeliste"/>
        <w:numPr>
          <w:ilvl w:val="0"/>
          <w:numId w:val="16"/>
        </w:numPr>
        <w:rPr>
          <w:lang w:val="fr-BE"/>
        </w:rPr>
      </w:pPr>
      <w:r>
        <w:rPr>
          <w:lang w:val="fr-BE"/>
        </w:rPr>
        <w:t>d’un GPS de terrain</w:t>
      </w:r>
    </w:p>
    <w:p w:rsidR="006C5151" w:rsidRDefault="006C5151" w:rsidP="006C5151">
      <w:pPr>
        <w:rPr>
          <w:lang w:val="fr-BE"/>
        </w:rPr>
      </w:pPr>
      <w:r>
        <w:rPr>
          <w:lang w:val="fr-BE"/>
        </w:rPr>
        <w:t>Par ailleurs, l’expérience réussie à Tiéfora et Baguinéda, montre qu’il est judic</w:t>
      </w:r>
      <w:r w:rsidR="0097767E">
        <w:rPr>
          <w:lang w:val="fr-BE"/>
        </w:rPr>
        <w:t>ieux d’impliquer sur chaque</w:t>
      </w:r>
      <w:r>
        <w:rPr>
          <w:lang w:val="fr-BE"/>
        </w:rPr>
        <w:t xml:space="preserve"> site </w:t>
      </w:r>
      <w:r w:rsidRPr="007060D6">
        <w:rPr>
          <w:i/>
          <w:lang w:val="fr-BE"/>
        </w:rPr>
        <w:t xml:space="preserve">un binôme </w:t>
      </w:r>
      <w:r w:rsidR="005A15A7">
        <w:rPr>
          <w:i/>
          <w:lang w:val="fr-BE"/>
        </w:rPr>
        <w:t>d’intervenants (</w:t>
      </w:r>
      <w:proofErr w:type="spellStart"/>
      <w:r w:rsidR="005A15A7">
        <w:rPr>
          <w:i/>
          <w:lang w:val="fr-BE"/>
        </w:rPr>
        <w:t>i.e</w:t>
      </w:r>
      <w:proofErr w:type="spellEnd"/>
      <w:r w:rsidR="005A15A7">
        <w:rPr>
          <w:i/>
          <w:lang w:val="fr-BE"/>
        </w:rPr>
        <w:t xml:space="preserve"> </w:t>
      </w:r>
      <w:r w:rsidRPr="007060D6">
        <w:rPr>
          <w:i/>
          <w:lang w:val="fr-BE"/>
        </w:rPr>
        <w:t>’étudiant</w:t>
      </w:r>
      <w:r w:rsidR="007060D6">
        <w:rPr>
          <w:i/>
          <w:lang w:val="fr-BE"/>
        </w:rPr>
        <w:t>s</w:t>
      </w:r>
      <w:r w:rsidR="005A15A7">
        <w:rPr>
          <w:i/>
          <w:lang w:val="fr-BE"/>
        </w:rPr>
        <w:t>)</w:t>
      </w:r>
      <w:r>
        <w:rPr>
          <w:lang w:val="fr-BE"/>
        </w:rPr>
        <w:t xml:space="preserve"> qui garantit, entre autres par son interaction, la rigueur dans les résultats.</w:t>
      </w:r>
      <w:r w:rsidR="003D76C1">
        <w:rPr>
          <w:lang w:val="fr-BE"/>
        </w:rPr>
        <w:t xml:space="preserve"> </w:t>
      </w:r>
    </w:p>
    <w:p w:rsidR="00185631" w:rsidRDefault="00185631" w:rsidP="006C5151">
      <w:pPr>
        <w:rPr>
          <w:lang w:val="fr-BE"/>
        </w:rPr>
      </w:pPr>
    </w:p>
    <w:p w:rsidR="00185631" w:rsidRPr="006C5151" w:rsidRDefault="00185631" w:rsidP="006C5151">
      <w:pPr>
        <w:rPr>
          <w:lang w:val="fr-BE"/>
        </w:rPr>
      </w:pPr>
    </w:p>
    <w:p w:rsidR="004B69EA" w:rsidRDefault="004B69EA" w:rsidP="00863FC3">
      <w:pPr>
        <w:rPr>
          <w:lang w:val="fr-BE"/>
        </w:rPr>
      </w:pPr>
    </w:p>
    <w:p w:rsidR="004B69EA" w:rsidRDefault="004B69EA" w:rsidP="00863FC3">
      <w:pPr>
        <w:rPr>
          <w:lang w:val="fr-BE"/>
        </w:rPr>
        <w:sectPr w:rsidR="004B69EA" w:rsidSect="00994548">
          <w:footerReference w:type="default" r:id="rId22"/>
          <w:pgSz w:w="11906" w:h="16838" w:code="9"/>
          <w:pgMar w:top="1418" w:right="1418" w:bottom="1418" w:left="1418" w:header="709" w:footer="709" w:gutter="0"/>
          <w:cols w:space="708"/>
          <w:titlePg/>
          <w:docGrid w:linePitch="360"/>
        </w:sectPr>
      </w:pPr>
    </w:p>
    <w:p w:rsidR="00863FC3" w:rsidRDefault="008A33DF" w:rsidP="00863FC3">
      <w:pPr>
        <w:pStyle w:val="Titre1"/>
      </w:pPr>
      <w:r>
        <w:lastRenderedPageBreak/>
        <w:t>Référence</w:t>
      </w:r>
      <w:r w:rsidR="00863FC3" w:rsidRPr="00863FC3">
        <w:t>s</w:t>
      </w:r>
    </w:p>
    <w:p w:rsidR="00210100" w:rsidRPr="00210100" w:rsidRDefault="00B668CC" w:rsidP="008E2C5D">
      <w:pPr>
        <w:spacing w:after="0" w:line="240" w:lineRule="auto"/>
        <w:ind w:left="720" w:hanging="720"/>
        <w:jc w:val="both"/>
        <w:rPr>
          <w:rFonts w:cs="Times New Roman"/>
          <w:noProof/>
        </w:rPr>
      </w:pPr>
      <w:r>
        <w:fldChar w:fldCharType="begin"/>
      </w:r>
      <w:r w:rsidR="003A7D3E">
        <w:instrText xml:space="preserve"> ADDIN EN.REFLIST </w:instrText>
      </w:r>
      <w:r>
        <w:fldChar w:fldCharType="separate"/>
      </w:r>
      <w:bookmarkStart w:id="17" w:name="_ENREF_1"/>
      <w:r w:rsidR="00210100" w:rsidRPr="00210100">
        <w:rPr>
          <w:rFonts w:cs="Times New Roman"/>
          <w:noProof/>
        </w:rPr>
        <w:t>Barbier B, Ouedraogo H, Dembélé Y, Yacouba H, Barry B, Jamin J-Y. 2011. L’agriculture irriguée dans le Sahel Ouest-Africain Cahiers Agricultures. 20(1):24-33.</w:t>
      </w:r>
      <w:bookmarkEnd w:id="17"/>
    </w:p>
    <w:p w:rsidR="00210100" w:rsidRPr="00210100" w:rsidRDefault="00210100" w:rsidP="008E2C5D">
      <w:pPr>
        <w:spacing w:after="0" w:line="240" w:lineRule="auto"/>
        <w:ind w:left="720" w:hanging="720"/>
        <w:jc w:val="both"/>
        <w:rPr>
          <w:rFonts w:cs="Times New Roman"/>
          <w:noProof/>
          <w:lang w:val="en-GB"/>
        </w:rPr>
      </w:pPr>
      <w:bookmarkStart w:id="18" w:name="_ENREF_2"/>
      <w:r w:rsidRPr="00210100">
        <w:rPr>
          <w:rFonts w:cs="Times New Roman"/>
          <w:noProof/>
        </w:rPr>
        <w:t xml:space="preserve">Becker M, Asch F. 2005. </w:t>
      </w:r>
      <w:r w:rsidRPr="00210100">
        <w:rPr>
          <w:rFonts w:cs="Times New Roman"/>
          <w:noProof/>
          <w:lang w:val="en-GB"/>
        </w:rPr>
        <w:t>Iron toxicity in rice -  conditions and management concepts. J. Plant Nurti. Soil Sci. 168:558-573.</w:t>
      </w:r>
      <w:bookmarkEnd w:id="18"/>
    </w:p>
    <w:p w:rsidR="00210100" w:rsidRPr="00210100" w:rsidRDefault="00210100" w:rsidP="008E2C5D">
      <w:pPr>
        <w:spacing w:after="0" w:line="240" w:lineRule="auto"/>
        <w:ind w:left="720" w:hanging="720"/>
        <w:jc w:val="both"/>
        <w:rPr>
          <w:rFonts w:cs="Times New Roman"/>
          <w:noProof/>
          <w:lang w:val="en-GB"/>
        </w:rPr>
      </w:pPr>
      <w:bookmarkStart w:id="19" w:name="_ENREF_3"/>
      <w:r w:rsidRPr="00210100">
        <w:rPr>
          <w:rFonts w:cs="Times New Roman"/>
          <w:noProof/>
          <w:lang w:val="en-GB"/>
        </w:rPr>
        <w:t>Boslaugh S, Watters PA. 2008. Statistics in a Nutshell.  USA: OReilly. 478 p.</w:t>
      </w:r>
      <w:bookmarkEnd w:id="19"/>
    </w:p>
    <w:p w:rsidR="00210100" w:rsidRPr="00210100" w:rsidRDefault="00210100" w:rsidP="008E2C5D">
      <w:pPr>
        <w:spacing w:after="0" w:line="240" w:lineRule="auto"/>
        <w:ind w:left="720" w:hanging="720"/>
        <w:jc w:val="both"/>
        <w:rPr>
          <w:rFonts w:cs="Times New Roman"/>
          <w:noProof/>
          <w:lang w:val="en-GB"/>
        </w:rPr>
      </w:pPr>
      <w:bookmarkStart w:id="20" w:name="_ENREF_4"/>
      <w:r w:rsidRPr="00210100">
        <w:rPr>
          <w:rFonts w:cs="Times New Roman"/>
          <w:noProof/>
          <w:lang w:val="en-GB"/>
        </w:rPr>
        <w:t>Keïta A. 2015. Subsurface drainage of valley bottom irrigated rice schemes in Tropical Savannah. Case studies of Tiéfora and Moussodougou in Burkina Faso.  Delt, The Netherlands: CRC Press/Balkema. 224 p.</w:t>
      </w:r>
      <w:bookmarkEnd w:id="20"/>
    </w:p>
    <w:p w:rsidR="00210100" w:rsidRPr="00210100" w:rsidRDefault="00210100" w:rsidP="008E2C5D">
      <w:pPr>
        <w:spacing w:after="0" w:line="240" w:lineRule="auto"/>
        <w:ind w:left="720" w:hanging="720"/>
        <w:jc w:val="both"/>
        <w:rPr>
          <w:rFonts w:cs="Times New Roman"/>
          <w:noProof/>
          <w:lang w:val="en-GB"/>
        </w:rPr>
      </w:pPr>
      <w:bookmarkStart w:id="21" w:name="_ENREF_5"/>
      <w:r w:rsidRPr="00210100">
        <w:rPr>
          <w:rFonts w:cs="Times New Roman"/>
          <w:noProof/>
          <w:lang w:val="en-GB"/>
        </w:rPr>
        <w:t>Keïta A. 2017. Design and Analysis of Experiments and Surveys - V1.7. Courses for MSc and PhD.  Ouagadougou, Burkina Faso: International Institute for Water and Environmental Engineering (2iE).</w:t>
      </w:r>
      <w:bookmarkEnd w:id="21"/>
    </w:p>
    <w:p w:rsidR="00210100" w:rsidRPr="00210100" w:rsidRDefault="00210100" w:rsidP="008E2C5D">
      <w:pPr>
        <w:spacing w:after="0" w:line="240" w:lineRule="auto"/>
        <w:ind w:left="720" w:hanging="720"/>
        <w:jc w:val="both"/>
        <w:rPr>
          <w:rFonts w:cs="Times New Roman"/>
          <w:noProof/>
          <w:lang w:val="en-GB"/>
        </w:rPr>
      </w:pPr>
      <w:bookmarkStart w:id="22" w:name="_ENREF_6"/>
      <w:r w:rsidRPr="00210100">
        <w:rPr>
          <w:rFonts w:cs="Times New Roman"/>
          <w:noProof/>
          <w:lang w:val="en-GB"/>
        </w:rPr>
        <w:t>Keïta A, Schultz B, Yacouba H, Hayde LG. 2013a. Clay and ferrous iron stratifications in a Tropical Savannah valley bottom soil under irrigated rice. Academia Journal of Agricultural Research. 1(11):204-210.</w:t>
      </w:r>
      <w:bookmarkEnd w:id="22"/>
    </w:p>
    <w:p w:rsidR="00210100" w:rsidRPr="00210100" w:rsidRDefault="00210100" w:rsidP="008E2C5D">
      <w:pPr>
        <w:spacing w:after="0" w:line="240" w:lineRule="auto"/>
        <w:ind w:left="720" w:hanging="720"/>
        <w:jc w:val="both"/>
        <w:rPr>
          <w:rFonts w:cs="Times New Roman"/>
          <w:noProof/>
          <w:lang w:val="en-GB"/>
        </w:rPr>
      </w:pPr>
      <w:bookmarkStart w:id="23" w:name="_ENREF_7"/>
      <w:r w:rsidRPr="00210100">
        <w:rPr>
          <w:rFonts w:cs="Times New Roman"/>
          <w:noProof/>
          <w:lang w:val="en-GB"/>
        </w:rPr>
        <w:t>Keïta A, Yacouba H, Hayde LG, Schultz B. 2013b. A single-season irrigated rice soil presents higher iron toxicity risk in Tropical Savannah valley bottoms. Open Journal of Soil Science. 3:314-322.</w:t>
      </w:r>
      <w:bookmarkEnd w:id="23"/>
    </w:p>
    <w:p w:rsidR="00210100" w:rsidRPr="00210100" w:rsidRDefault="00210100" w:rsidP="008E2C5D">
      <w:pPr>
        <w:spacing w:after="0" w:line="240" w:lineRule="auto"/>
        <w:ind w:left="720" w:hanging="720"/>
        <w:jc w:val="both"/>
        <w:rPr>
          <w:rFonts w:cs="Times New Roman"/>
          <w:noProof/>
          <w:lang w:val="en-GB"/>
        </w:rPr>
      </w:pPr>
      <w:bookmarkStart w:id="24" w:name="_ENREF_8"/>
      <w:r w:rsidRPr="00210100">
        <w:rPr>
          <w:rFonts w:cs="Times New Roman"/>
          <w:noProof/>
          <w:lang w:val="en-GB"/>
        </w:rPr>
        <w:t>Keïta A, Yacouba H, Hayde LG, Schultz B. 2014. Comparative non-linear regression - a case of infiltration rate increase from upstream in valley. International Agrophysics. 28:303-310.</w:t>
      </w:r>
      <w:bookmarkEnd w:id="24"/>
    </w:p>
    <w:p w:rsidR="00210100" w:rsidRPr="00210100" w:rsidRDefault="00210100" w:rsidP="008E2C5D">
      <w:pPr>
        <w:spacing w:after="0" w:line="240" w:lineRule="auto"/>
        <w:ind w:left="720" w:hanging="720"/>
        <w:jc w:val="both"/>
        <w:rPr>
          <w:rFonts w:cs="Times New Roman"/>
          <w:noProof/>
          <w:lang w:val="en-GB"/>
        </w:rPr>
      </w:pPr>
      <w:bookmarkStart w:id="25" w:name="_ENREF_9"/>
      <w:r w:rsidRPr="00210100">
        <w:rPr>
          <w:rFonts w:cs="Times New Roman"/>
          <w:noProof/>
          <w:lang w:val="en-GB"/>
        </w:rPr>
        <w:t>Konukcu F, Gowing JW, Rose DA. 2006. Dry Drainage: A Sustainable Solution to Waterlogging and Salinity Problems in Irrigation Areas? Agricultural Water Management. 83(1):1-12.</w:t>
      </w:r>
      <w:bookmarkEnd w:id="25"/>
    </w:p>
    <w:p w:rsidR="00210100" w:rsidRPr="00210100" w:rsidRDefault="00210100" w:rsidP="008E2C5D">
      <w:pPr>
        <w:spacing w:after="0" w:line="240" w:lineRule="auto"/>
        <w:ind w:left="720" w:hanging="720"/>
        <w:jc w:val="both"/>
        <w:rPr>
          <w:rFonts w:cs="Times New Roman"/>
          <w:noProof/>
          <w:lang w:val="en-GB"/>
        </w:rPr>
      </w:pPr>
      <w:bookmarkStart w:id="26" w:name="_ENREF_10"/>
      <w:r w:rsidRPr="00210100">
        <w:rPr>
          <w:rFonts w:cs="Times New Roman"/>
          <w:noProof/>
          <w:lang w:val="en-GB"/>
        </w:rPr>
        <w:t>Mathews PG. 2005. Design of experiments with Minitab.  Wisconsin. USA: ASQ Quality Press. 521 p.</w:t>
      </w:r>
      <w:bookmarkEnd w:id="26"/>
    </w:p>
    <w:p w:rsidR="00210100" w:rsidRPr="00210100" w:rsidRDefault="00210100" w:rsidP="008E2C5D">
      <w:pPr>
        <w:spacing w:after="0" w:line="240" w:lineRule="auto"/>
        <w:ind w:left="720" w:hanging="720"/>
        <w:jc w:val="both"/>
        <w:rPr>
          <w:rFonts w:cs="Times New Roman"/>
          <w:noProof/>
          <w:lang w:val="en-GB"/>
        </w:rPr>
      </w:pPr>
      <w:bookmarkStart w:id="27" w:name="_ENREF_11"/>
      <w:r w:rsidRPr="00210100">
        <w:rPr>
          <w:rFonts w:cs="Times New Roman"/>
          <w:noProof/>
          <w:lang w:val="en-GB"/>
        </w:rPr>
        <w:t>Prade K, Ottow JCG, Jacq VA, Malouf G, Loyer J-Y. 1990. Relationship between soil properties of rice flooded soils and iron toxicity in Low Casamance (Senegal). Litterature review of previous studies (French). Cahiers ORSTOM. XXV(4):453-474. French.</w:t>
      </w:r>
      <w:bookmarkEnd w:id="27"/>
    </w:p>
    <w:p w:rsidR="00210100" w:rsidRPr="00210100" w:rsidRDefault="00210100" w:rsidP="008E2C5D">
      <w:pPr>
        <w:spacing w:after="0" w:line="240" w:lineRule="auto"/>
        <w:ind w:left="720" w:hanging="720"/>
        <w:jc w:val="both"/>
        <w:rPr>
          <w:rFonts w:cs="Times New Roman"/>
          <w:noProof/>
        </w:rPr>
      </w:pPr>
      <w:bookmarkStart w:id="28" w:name="_ENREF_12"/>
      <w:r w:rsidRPr="00210100">
        <w:rPr>
          <w:rFonts w:cs="Times New Roman"/>
          <w:noProof/>
        </w:rPr>
        <w:t>PROMISAM, USAID-Mali. 2008. Plan de Sécurité Alimentaire Commune Rurale de Baguinéda-Camp.</w:t>
      </w:r>
      <w:bookmarkEnd w:id="28"/>
    </w:p>
    <w:p w:rsidR="00210100" w:rsidRPr="00210100" w:rsidRDefault="00210100" w:rsidP="008E2C5D">
      <w:pPr>
        <w:spacing w:after="0" w:line="240" w:lineRule="auto"/>
        <w:ind w:left="720" w:hanging="720"/>
        <w:jc w:val="both"/>
        <w:rPr>
          <w:rFonts w:cs="Times New Roman"/>
          <w:noProof/>
        </w:rPr>
      </w:pPr>
      <w:bookmarkStart w:id="29" w:name="_ENREF_13"/>
      <w:r w:rsidRPr="00210100">
        <w:rPr>
          <w:rFonts w:cs="Times New Roman"/>
          <w:noProof/>
        </w:rPr>
        <w:t>Rutabara H. 2017. La perception de l'entretien du réseau de drainage et sa solution selon les agriculteurs - Étude de cas de Baguinéda amont (OPIB / Mali). Master. Ouagadougou, Burkina Faso: Institut International d'Ingénierie de l'Eau et de l'Environnement.</w:t>
      </w:r>
      <w:bookmarkEnd w:id="29"/>
    </w:p>
    <w:p w:rsidR="00210100" w:rsidRPr="00210100" w:rsidRDefault="00210100" w:rsidP="008E2C5D">
      <w:pPr>
        <w:spacing w:after="0" w:line="240" w:lineRule="auto"/>
        <w:ind w:left="720" w:hanging="720"/>
        <w:jc w:val="both"/>
        <w:rPr>
          <w:rFonts w:cs="Times New Roman"/>
          <w:noProof/>
        </w:rPr>
      </w:pPr>
      <w:bookmarkStart w:id="30" w:name="_ENREF_14"/>
      <w:r w:rsidRPr="00210100">
        <w:rPr>
          <w:rFonts w:cs="Times New Roman"/>
          <w:noProof/>
        </w:rPr>
        <w:t>Sandwidi SA. 2017. La perception de l’entretien du réseau de drainage et sa solution selon les agriculteurs : Cas de Baguinéda aval (OPIB/Mali). Master. Ouagadougou, Burkina Faso: Institut International d'Ingénierie de l'Eau et de l'Environnement.</w:t>
      </w:r>
      <w:bookmarkEnd w:id="30"/>
    </w:p>
    <w:p w:rsidR="00210100" w:rsidRPr="00210100" w:rsidRDefault="00210100" w:rsidP="008E2C5D">
      <w:pPr>
        <w:spacing w:after="0" w:line="240" w:lineRule="auto"/>
        <w:ind w:left="720" w:hanging="720"/>
        <w:jc w:val="both"/>
        <w:rPr>
          <w:rFonts w:cs="Times New Roman"/>
          <w:noProof/>
        </w:rPr>
      </w:pPr>
      <w:bookmarkStart w:id="31" w:name="_ENREF_15"/>
      <w:r w:rsidRPr="00210100">
        <w:rPr>
          <w:rFonts w:cs="Times New Roman"/>
          <w:noProof/>
        </w:rPr>
        <w:t>SEE. 2014. Projet d’intensification du Périmètre Irrigué de Baguinéda- Etude d’actualisation, de recalibrage, de revêtement des canaux primaires de Baguinéda et la remise en état des ouvrages connexes.</w:t>
      </w:r>
      <w:bookmarkEnd w:id="31"/>
    </w:p>
    <w:p w:rsidR="00210100" w:rsidRPr="00210100" w:rsidRDefault="00210100" w:rsidP="008E2C5D">
      <w:pPr>
        <w:spacing w:after="0" w:line="240" w:lineRule="auto"/>
        <w:ind w:left="720" w:hanging="720"/>
        <w:jc w:val="both"/>
        <w:rPr>
          <w:rFonts w:cs="Times New Roman"/>
          <w:noProof/>
        </w:rPr>
      </w:pPr>
      <w:bookmarkStart w:id="32" w:name="_ENREF_16"/>
      <w:r w:rsidRPr="00210100">
        <w:rPr>
          <w:rFonts w:cs="Times New Roman"/>
          <w:noProof/>
          <w:lang w:val="en-GB"/>
        </w:rPr>
        <w:t xml:space="preserve">Smedema LK, Walter JO. 1998. Needs and Prospects for Improved Drainage in Developing Countries. </w:t>
      </w:r>
      <w:r w:rsidRPr="00210100">
        <w:rPr>
          <w:rFonts w:cs="Times New Roman"/>
          <w:noProof/>
        </w:rPr>
        <w:t>Irrigation and Drainage Systems. 12(4):359-69.</w:t>
      </w:r>
      <w:bookmarkEnd w:id="32"/>
    </w:p>
    <w:p w:rsidR="00210100" w:rsidRPr="00210100" w:rsidRDefault="00210100" w:rsidP="008E2C5D">
      <w:pPr>
        <w:spacing w:after="0" w:line="240" w:lineRule="auto"/>
        <w:ind w:left="720" w:hanging="720"/>
        <w:jc w:val="both"/>
        <w:rPr>
          <w:rFonts w:cs="Times New Roman"/>
          <w:noProof/>
        </w:rPr>
      </w:pPr>
      <w:bookmarkStart w:id="33" w:name="_ENREF_17"/>
      <w:r w:rsidRPr="00210100">
        <w:rPr>
          <w:rFonts w:cs="Times New Roman"/>
          <w:noProof/>
        </w:rPr>
        <w:t>Statistique Canada. 2003. Méthodes et pratiques d’enquêtes.</w:t>
      </w:r>
      <w:bookmarkEnd w:id="33"/>
    </w:p>
    <w:p w:rsidR="00210100" w:rsidRPr="00210100" w:rsidRDefault="00210100" w:rsidP="008E2C5D">
      <w:pPr>
        <w:spacing w:after="0" w:line="240" w:lineRule="auto"/>
        <w:ind w:left="720" w:hanging="720"/>
        <w:jc w:val="both"/>
        <w:rPr>
          <w:rFonts w:cs="Times New Roman"/>
          <w:noProof/>
          <w:lang w:val="en-GB"/>
        </w:rPr>
      </w:pPr>
      <w:bookmarkStart w:id="34" w:name="_ENREF_18"/>
      <w:r w:rsidRPr="00210100">
        <w:rPr>
          <w:rFonts w:cs="Times New Roman"/>
          <w:noProof/>
        </w:rPr>
        <w:t xml:space="preserve">Vandersypen K, Keita ACT, Kaloga K, Coulibaly Y, Raes D, Jamin JY. 2006. </w:t>
      </w:r>
      <w:r w:rsidRPr="00210100">
        <w:rPr>
          <w:rFonts w:cs="Times New Roman"/>
          <w:noProof/>
          <w:lang w:val="en-GB"/>
        </w:rPr>
        <w:t>Sustainability of Farmers’ Organization of Water Management in the Office Du Niger Irrigation Scheme in Mali  Irrigation and Drainage Systems. 55(1):51-60.</w:t>
      </w:r>
      <w:bookmarkEnd w:id="34"/>
    </w:p>
    <w:p w:rsidR="00210100" w:rsidRPr="00210100" w:rsidRDefault="00210100" w:rsidP="008E2C5D">
      <w:pPr>
        <w:spacing w:line="240" w:lineRule="auto"/>
        <w:ind w:left="720" w:hanging="720"/>
        <w:jc w:val="both"/>
        <w:rPr>
          <w:rFonts w:cs="Times New Roman"/>
          <w:noProof/>
        </w:rPr>
      </w:pPr>
      <w:bookmarkStart w:id="35" w:name="_ENREF_19"/>
      <w:r w:rsidRPr="00210100">
        <w:rPr>
          <w:rFonts w:cs="Times New Roman"/>
          <w:noProof/>
          <w:lang w:val="en-GB"/>
        </w:rPr>
        <w:t xml:space="preserve">WARDA. 2006. Iron toxicity in rice-based systems in West Africa.  </w:t>
      </w:r>
      <w:r w:rsidRPr="00210100">
        <w:rPr>
          <w:rFonts w:cs="Times New Roman"/>
          <w:noProof/>
        </w:rPr>
        <w:t>Cotonou (Benin). 175 p.</w:t>
      </w:r>
      <w:bookmarkEnd w:id="35"/>
    </w:p>
    <w:p w:rsidR="00210100" w:rsidRDefault="00210100" w:rsidP="008E2C5D">
      <w:pPr>
        <w:spacing w:line="240" w:lineRule="auto"/>
        <w:jc w:val="both"/>
        <w:rPr>
          <w:rFonts w:cs="Times New Roman"/>
          <w:noProof/>
        </w:rPr>
      </w:pPr>
    </w:p>
    <w:p w:rsidR="00863FC3" w:rsidRPr="00863FC3" w:rsidRDefault="00B668CC" w:rsidP="008E2C5D">
      <w:pPr>
        <w:jc w:val="both"/>
      </w:pPr>
      <w:r>
        <w:fldChar w:fldCharType="end"/>
      </w:r>
    </w:p>
    <w:sectPr w:rsidR="00863FC3" w:rsidRPr="00863FC3" w:rsidSect="0099454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A9D" w:rsidRDefault="008E5A9D" w:rsidP="00994548">
      <w:pPr>
        <w:spacing w:after="0" w:line="240" w:lineRule="auto"/>
      </w:pPr>
      <w:r>
        <w:separator/>
      </w:r>
    </w:p>
  </w:endnote>
  <w:endnote w:type="continuationSeparator" w:id="0">
    <w:p w:rsidR="008E5A9D" w:rsidRDefault="008E5A9D" w:rsidP="0099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464867"/>
      <w:docPartObj>
        <w:docPartGallery w:val="Page Numbers (Bottom of Page)"/>
        <w:docPartUnique/>
      </w:docPartObj>
    </w:sdtPr>
    <w:sdtEndPr/>
    <w:sdtContent>
      <w:p w:rsidR="0048123E" w:rsidRDefault="00B668CC">
        <w:pPr>
          <w:pStyle w:val="Pieddepage"/>
          <w:jc w:val="right"/>
        </w:pPr>
        <w:r>
          <w:fldChar w:fldCharType="begin"/>
        </w:r>
        <w:r w:rsidR="0048123E">
          <w:instrText xml:space="preserve"> PAGE   \* MERGEFORMAT </w:instrText>
        </w:r>
        <w:r>
          <w:fldChar w:fldCharType="separate"/>
        </w:r>
        <w:r w:rsidR="0086415C">
          <w:rPr>
            <w:noProof/>
          </w:rPr>
          <w:t>4</w:t>
        </w:r>
        <w:r>
          <w:rPr>
            <w:noProof/>
          </w:rPr>
          <w:fldChar w:fldCharType="end"/>
        </w:r>
      </w:p>
    </w:sdtContent>
  </w:sdt>
  <w:p w:rsidR="0048123E" w:rsidRDefault="0048123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A9D" w:rsidRDefault="008E5A9D" w:rsidP="00994548">
      <w:pPr>
        <w:spacing w:after="0" w:line="240" w:lineRule="auto"/>
      </w:pPr>
      <w:r>
        <w:separator/>
      </w:r>
    </w:p>
  </w:footnote>
  <w:footnote w:type="continuationSeparator" w:id="0">
    <w:p w:rsidR="008E5A9D" w:rsidRDefault="008E5A9D" w:rsidP="00994548">
      <w:pPr>
        <w:spacing w:after="0" w:line="240" w:lineRule="auto"/>
      </w:pPr>
      <w:r>
        <w:continuationSeparator/>
      </w:r>
    </w:p>
  </w:footnote>
  <w:footnote w:id="1">
    <w:p w:rsidR="0048123E" w:rsidRPr="00F3621A" w:rsidRDefault="0048123E">
      <w:pPr>
        <w:pStyle w:val="Notedebasdepage"/>
        <w:rPr>
          <w:sz w:val="18"/>
          <w:szCs w:val="18"/>
        </w:rPr>
      </w:pPr>
      <w:r w:rsidRPr="00F3621A">
        <w:rPr>
          <w:rStyle w:val="Appelnotedebasdep"/>
          <w:sz w:val="18"/>
          <w:szCs w:val="18"/>
        </w:rPr>
        <w:footnoteRef/>
      </w:r>
      <w:r w:rsidRPr="00F3621A">
        <w:rPr>
          <w:sz w:val="18"/>
          <w:szCs w:val="18"/>
        </w:rPr>
        <w:t xml:space="preserve"> Voir la confection et la mise en œuvre de cet outil – entre autres – sur : </w:t>
      </w:r>
      <w:hyperlink r:id="rId1" w:history="1">
        <w:r w:rsidRPr="00F3621A">
          <w:rPr>
            <w:rStyle w:val="Lienhypertexte"/>
            <w:sz w:val="18"/>
            <w:szCs w:val="18"/>
          </w:rPr>
          <w:t>https://youtu.be/duuVli2jBpQ</w:t>
        </w:r>
      </w:hyperlink>
      <w:r w:rsidRPr="00F3621A">
        <w:rPr>
          <w:sz w:val="18"/>
          <w:szCs w:val="18"/>
        </w:rPr>
        <w:t xml:space="preserve"> </w:t>
      </w:r>
    </w:p>
  </w:footnote>
  <w:footnote w:id="2">
    <w:p w:rsidR="0048123E" w:rsidRPr="00F3621A" w:rsidRDefault="0048123E">
      <w:pPr>
        <w:pStyle w:val="Notedebasdepage"/>
        <w:rPr>
          <w:sz w:val="18"/>
          <w:szCs w:val="18"/>
        </w:rPr>
      </w:pPr>
      <w:r w:rsidRPr="00F3621A">
        <w:rPr>
          <w:rStyle w:val="Appelnotedebasdep"/>
          <w:sz w:val="18"/>
          <w:szCs w:val="18"/>
        </w:rPr>
        <w:footnoteRef/>
      </w:r>
      <w:r w:rsidRPr="00F3621A">
        <w:rPr>
          <w:sz w:val="18"/>
          <w:szCs w:val="18"/>
        </w:rPr>
        <w:t xml:space="preserve"> Voir une présentation de cet équipement sur : </w:t>
      </w:r>
      <w:hyperlink r:id="rId2" w:history="1">
        <w:r w:rsidRPr="00F3621A">
          <w:rPr>
            <w:rStyle w:val="Lienhypertexte"/>
            <w:sz w:val="18"/>
            <w:szCs w:val="18"/>
          </w:rPr>
          <w:t>https://youtu.be/_DjS2kwvQX8</w:t>
        </w:r>
      </w:hyperlink>
      <w:r w:rsidRPr="00F3621A">
        <w:rPr>
          <w:sz w:val="18"/>
          <w:szCs w:val="18"/>
        </w:rPr>
        <w:t xml:space="preserve"> </w:t>
      </w:r>
    </w:p>
  </w:footnote>
  <w:footnote w:id="3">
    <w:p w:rsidR="0048123E" w:rsidRPr="00F3621A" w:rsidRDefault="0048123E" w:rsidP="008C3E12">
      <w:pPr>
        <w:pStyle w:val="Notedebasdepage"/>
        <w:rPr>
          <w:sz w:val="18"/>
          <w:szCs w:val="18"/>
        </w:rPr>
      </w:pPr>
      <w:r w:rsidRPr="00F3621A">
        <w:rPr>
          <w:rStyle w:val="Appelnotedebasdep"/>
          <w:sz w:val="18"/>
          <w:szCs w:val="18"/>
        </w:rPr>
        <w:footnoteRef/>
      </w:r>
      <w:r w:rsidRPr="00F3621A">
        <w:rPr>
          <w:sz w:val="18"/>
          <w:szCs w:val="18"/>
        </w:rPr>
        <w:t xml:space="preserve"> Le WASO permet de faire évaluer indépendamment les deux hypothèses sur une échelle commune.</w:t>
      </w:r>
    </w:p>
  </w:footnote>
  <w:footnote w:id="4">
    <w:p w:rsidR="0048123E" w:rsidRPr="008C606B" w:rsidRDefault="0048123E">
      <w:pPr>
        <w:pStyle w:val="Notedebasdepage"/>
        <w:rPr>
          <w:sz w:val="18"/>
          <w:szCs w:val="18"/>
        </w:rPr>
      </w:pPr>
      <w:r w:rsidRPr="008C606B">
        <w:rPr>
          <w:rStyle w:val="Appelnotedebasdep"/>
          <w:sz w:val="18"/>
          <w:szCs w:val="18"/>
        </w:rPr>
        <w:footnoteRef/>
      </w:r>
      <w:r w:rsidRPr="008C606B">
        <w:rPr>
          <w:sz w:val="18"/>
          <w:szCs w:val="18"/>
        </w:rPr>
        <w:t xml:space="preserve"> On pourrait l’appeler la « Méthodologie WASO-Drainage », si consensus</w:t>
      </w:r>
    </w:p>
  </w:footnote>
  <w:footnote w:id="5">
    <w:p w:rsidR="0048123E" w:rsidRPr="008C606B" w:rsidRDefault="0048123E">
      <w:pPr>
        <w:pStyle w:val="Notedebasdepage"/>
        <w:rPr>
          <w:sz w:val="18"/>
          <w:szCs w:val="18"/>
        </w:rPr>
      </w:pPr>
      <w:r w:rsidRPr="008C606B">
        <w:rPr>
          <w:rStyle w:val="Appelnotedebasdep"/>
          <w:sz w:val="18"/>
          <w:szCs w:val="18"/>
        </w:rPr>
        <w:footnoteRef/>
      </w:r>
      <w:r w:rsidRPr="008C606B">
        <w:rPr>
          <w:sz w:val="18"/>
          <w:szCs w:val="18"/>
        </w:rPr>
        <w:t xml:space="preserve"> Associer des mesures in-situ de la salinité par </w:t>
      </w:r>
      <w:r w:rsidRPr="008C606B">
        <w:rPr>
          <w:i/>
          <w:sz w:val="18"/>
          <w:szCs w:val="18"/>
        </w:rPr>
        <w:t>Conductivimètre</w:t>
      </w:r>
    </w:p>
  </w:footnote>
  <w:footnote w:id="6">
    <w:p w:rsidR="0048123E" w:rsidRPr="008C606B" w:rsidRDefault="0048123E">
      <w:pPr>
        <w:pStyle w:val="Notedebasdepage"/>
        <w:rPr>
          <w:sz w:val="18"/>
          <w:szCs w:val="18"/>
        </w:rPr>
      </w:pPr>
      <w:r w:rsidRPr="008C606B">
        <w:rPr>
          <w:rStyle w:val="Appelnotedebasdep"/>
          <w:sz w:val="18"/>
          <w:szCs w:val="18"/>
        </w:rPr>
        <w:footnoteRef/>
      </w:r>
      <w:r w:rsidRPr="008C606B">
        <w:rPr>
          <w:sz w:val="18"/>
          <w:szCs w:val="18"/>
        </w:rPr>
        <w:t xml:space="preserve"> Associer des mesures in situ du fer ferreux Fe</w:t>
      </w:r>
      <w:r w:rsidRPr="008C606B">
        <w:rPr>
          <w:sz w:val="18"/>
          <w:szCs w:val="18"/>
          <w:vertAlign w:val="superscript"/>
        </w:rPr>
        <w:t>2+</w:t>
      </w:r>
      <w:r w:rsidRPr="008C606B">
        <w:rPr>
          <w:sz w:val="18"/>
          <w:szCs w:val="18"/>
        </w:rPr>
        <w:t xml:space="preserve"> par </w:t>
      </w:r>
      <w:r w:rsidRPr="008C606B">
        <w:rPr>
          <w:i/>
          <w:sz w:val="18"/>
          <w:szCs w:val="18"/>
        </w:rPr>
        <w:t xml:space="preserve">RQFlex Plus 10 </w:t>
      </w:r>
      <w:r w:rsidRPr="008C606B">
        <w:rPr>
          <w:sz w:val="18"/>
          <w:szCs w:val="18"/>
        </w:rPr>
        <w:t>et du pH </w:t>
      </w:r>
    </w:p>
  </w:footnote>
  <w:footnote w:id="7">
    <w:p w:rsidR="0048123E" w:rsidRPr="008C606B" w:rsidRDefault="0048123E">
      <w:pPr>
        <w:pStyle w:val="Notedebasdepage"/>
        <w:rPr>
          <w:sz w:val="18"/>
          <w:szCs w:val="18"/>
        </w:rPr>
      </w:pPr>
      <w:r w:rsidRPr="008C606B">
        <w:rPr>
          <w:rStyle w:val="Appelnotedebasdep"/>
          <w:sz w:val="18"/>
          <w:szCs w:val="18"/>
        </w:rPr>
        <w:footnoteRef/>
      </w:r>
      <w:r w:rsidRPr="008C606B">
        <w:rPr>
          <w:sz w:val="18"/>
          <w:szCs w:val="18"/>
        </w:rPr>
        <w:t xml:space="preserve"> Associer des mesures in situ de la position </w:t>
      </w:r>
      <w:r w:rsidRPr="008C606B">
        <w:rPr>
          <w:i/>
          <w:sz w:val="18"/>
          <w:szCs w:val="18"/>
        </w:rPr>
        <w:t>GPS</w:t>
      </w:r>
      <w:r w:rsidRPr="008C606B">
        <w:rPr>
          <w:sz w:val="18"/>
          <w:szCs w:val="18"/>
        </w:rPr>
        <w:t xml:space="preserve"> pour traitement SIG</w:t>
      </w:r>
    </w:p>
  </w:footnote>
  <w:footnote w:id="8">
    <w:p w:rsidR="0048123E" w:rsidRPr="008C606B" w:rsidRDefault="0048123E">
      <w:pPr>
        <w:pStyle w:val="Notedebasdepage"/>
        <w:rPr>
          <w:sz w:val="18"/>
          <w:szCs w:val="18"/>
        </w:rPr>
      </w:pPr>
      <w:r w:rsidRPr="008C606B">
        <w:rPr>
          <w:rStyle w:val="Appelnotedebasdep"/>
          <w:sz w:val="18"/>
          <w:szCs w:val="18"/>
        </w:rPr>
        <w:footnoteRef/>
      </w:r>
      <w:r w:rsidRPr="008C606B">
        <w:rPr>
          <w:sz w:val="18"/>
          <w:szCs w:val="18"/>
        </w:rPr>
        <w:t xml:space="preserve"> Société d’Aménagement et de Gestion de l’Irrigation</w:t>
      </w:r>
    </w:p>
  </w:footnote>
  <w:footnote w:id="9">
    <w:p w:rsidR="0048123E" w:rsidRPr="008C606B" w:rsidRDefault="0048123E">
      <w:pPr>
        <w:pStyle w:val="Notedebasdepage"/>
        <w:rPr>
          <w:sz w:val="18"/>
          <w:szCs w:val="18"/>
        </w:rPr>
      </w:pPr>
      <w:r w:rsidRPr="008C606B">
        <w:rPr>
          <w:rStyle w:val="Appelnotedebasdep"/>
          <w:sz w:val="18"/>
          <w:szCs w:val="18"/>
        </w:rPr>
        <w:footnoteRef/>
      </w:r>
      <w:r w:rsidRPr="008C606B">
        <w:rPr>
          <w:sz w:val="18"/>
          <w:szCs w:val="18"/>
        </w:rPr>
        <w:t xml:space="preserve"> Associer une mesure in-situe de la perméabilité par la « méthode double anneaux de </w:t>
      </w:r>
      <w:proofErr w:type="spellStart"/>
      <w:r w:rsidRPr="008C606B">
        <w:rPr>
          <w:i/>
          <w:sz w:val="18"/>
          <w:szCs w:val="18"/>
        </w:rPr>
        <w:t>Muntz</w:t>
      </w:r>
      <w:proofErr w:type="spellEnd"/>
      <w:r w:rsidRPr="008C606B">
        <w:rPr>
          <w:sz w:val="18"/>
          <w:szCs w:val="18"/>
        </w:rPr>
        <w: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0A70"/>
    <w:multiLevelType w:val="hybridMultilevel"/>
    <w:tmpl w:val="5BFE95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900EAB"/>
    <w:multiLevelType w:val="multilevel"/>
    <w:tmpl w:val="84D2FB44"/>
    <w:styleLink w:val="Thesis-PhD"/>
    <w:lvl w:ilvl="0">
      <w:start w:val="1"/>
      <w:numFmt w:val="decimal"/>
      <w:lvlText w:val="Chapter %1."/>
      <w:lvlJc w:val="left"/>
      <w:pPr>
        <w:ind w:left="357" w:hanging="357"/>
      </w:pPr>
      <w:rPr>
        <w:rFonts w:ascii="Times New Roman" w:hAnsi="Times New Roman" w:hint="default"/>
      </w:rPr>
    </w:lvl>
    <w:lvl w:ilvl="1">
      <w:start w:val="1"/>
      <w:numFmt w:val="none"/>
      <w:lvlText w:val=""/>
      <w:lvlJc w:val="left"/>
      <w:pPr>
        <w:ind w:left="924" w:hanging="357"/>
      </w:pPr>
      <w:rPr>
        <w:rFonts w:ascii="Times New Roman" w:hAnsi="Times New Roman" w:hint="default"/>
      </w:rPr>
    </w:lvl>
    <w:lvl w:ilvl="2">
      <w:start w:val="1"/>
      <w:numFmt w:val="decimal"/>
      <w:lvlText w:val="%1%2.%3"/>
      <w:lvlJc w:val="left"/>
      <w:pPr>
        <w:ind w:left="1491" w:hanging="357"/>
      </w:pPr>
      <w:rPr>
        <w:rFonts w:ascii="Times New Roman" w:hAnsi="Times New Roman" w:hint="default"/>
      </w:rPr>
    </w:lvl>
    <w:lvl w:ilvl="3">
      <w:start w:val="1"/>
      <w:numFmt w:val="decimal"/>
      <w:lvlText w:val="%1%2.%4.%3"/>
      <w:lvlJc w:val="left"/>
      <w:pPr>
        <w:ind w:left="2058" w:hanging="357"/>
      </w:pPr>
      <w:rPr>
        <w:rFonts w:ascii="Times New Roman" w:hAnsi="Times New Roman" w:hint="default"/>
      </w:rPr>
    </w:lvl>
    <w:lvl w:ilvl="4">
      <w:start w:val="1"/>
      <w:numFmt w:val="decimal"/>
      <w:lvlText w:val="%4.%1.%2%3.%5"/>
      <w:lvlJc w:val="left"/>
      <w:pPr>
        <w:ind w:left="2625" w:hanging="357"/>
      </w:pPr>
      <w:rPr>
        <w:rFonts w:ascii="Times New Roman" w:hAnsi="Times New Roman" w:hint="default"/>
      </w:rPr>
    </w:lvl>
    <w:lvl w:ilvl="5">
      <w:start w:val="1"/>
      <w:numFmt w:val="decimal"/>
      <w:lvlText w:val="%5.%1.%2%3.%4.%6"/>
      <w:lvlJc w:val="left"/>
      <w:pPr>
        <w:ind w:left="3192" w:hanging="357"/>
      </w:pPr>
      <w:rPr>
        <w:rFonts w:ascii="Times New Roman" w:hAnsi="Times New Roman" w:hint="default"/>
      </w:rPr>
    </w:lvl>
    <w:lvl w:ilvl="6">
      <w:start w:val="1"/>
      <w:numFmt w:val="decimal"/>
      <w:lvlText w:val="%1.%2.%3.%4.%5.%6.%7."/>
      <w:lvlJc w:val="left"/>
      <w:pPr>
        <w:ind w:left="3759" w:hanging="357"/>
      </w:pPr>
      <w:rPr>
        <w:rFonts w:hint="default"/>
      </w:rPr>
    </w:lvl>
    <w:lvl w:ilvl="7">
      <w:start w:val="1"/>
      <w:numFmt w:val="decimal"/>
      <w:lvlText w:val="%1.%2.%3.%4.%5.%6.%7.%8."/>
      <w:lvlJc w:val="left"/>
      <w:pPr>
        <w:ind w:left="4326" w:hanging="357"/>
      </w:pPr>
      <w:rPr>
        <w:rFonts w:hint="default"/>
      </w:rPr>
    </w:lvl>
    <w:lvl w:ilvl="8">
      <w:start w:val="1"/>
      <w:numFmt w:val="decimal"/>
      <w:lvlText w:val="%1.%2.%3.%4.%5.%6.%7.%8.%9."/>
      <w:lvlJc w:val="left"/>
      <w:pPr>
        <w:ind w:left="4893" w:hanging="357"/>
      </w:pPr>
      <w:rPr>
        <w:rFonts w:hint="default"/>
      </w:rPr>
    </w:lvl>
  </w:abstractNum>
  <w:abstractNum w:abstractNumId="2">
    <w:nsid w:val="10CF7642"/>
    <w:multiLevelType w:val="hybridMultilevel"/>
    <w:tmpl w:val="10468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B54F4"/>
    <w:multiLevelType w:val="hybridMultilevel"/>
    <w:tmpl w:val="C5946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F5341A"/>
    <w:multiLevelType w:val="hybridMultilevel"/>
    <w:tmpl w:val="2794C0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727095"/>
    <w:multiLevelType w:val="hybridMultilevel"/>
    <w:tmpl w:val="2598ABC2"/>
    <w:lvl w:ilvl="0" w:tplc="BBEAB9D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3AC476E"/>
    <w:multiLevelType w:val="hybridMultilevel"/>
    <w:tmpl w:val="1CDEE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F400E4"/>
    <w:multiLevelType w:val="multilevel"/>
    <w:tmpl w:val="A768D836"/>
    <w:lvl w:ilvl="0">
      <w:start w:val="1"/>
      <w:numFmt w:val="upperRoman"/>
      <w:lvlText w:val="%1."/>
      <w:lvlJc w:val="right"/>
      <w:pPr>
        <w:tabs>
          <w:tab w:val="num" w:pos="928"/>
        </w:tabs>
        <w:ind w:left="568" w:firstLine="0"/>
      </w:pPr>
      <w:rPr>
        <w:rFonts w:hint="default"/>
        <w:b/>
      </w:rPr>
    </w:lvl>
    <w:lvl w:ilvl="1">
      <w:start w:val="1"/>
      <w:numFmt w:val="upperLetter"/>
      <w:lvlText w:val="%2."/>
      <w:lvlJc w:val="left"/>
      <w:pPr>
        <w:tabs>
          <w:tab w:val="num" w:pos="1648"/>
        </w:tabs>
        <w:ind w:left="1288" w:firstLine="0"/>
      </w:pPr>
      <w:rPr>
        <w:rFonts w:hint="default"/>
      </w:rPr>
    </w:lvl>
    <w:lvl w:ilvl="2">
      <w:start w:val="1"/>
      <w:numFmt w:val="decimal"/>
      <w:lvlText w:val="%3."/>
      <w:lvlJc w:val="left"/>
      <w:pPr>
        <w:tabs>
          <w:tab w:val="num" w:pos="2368"/>
        </w:tabs>
        <w:ind w:left="2008" w:firstLine="0"/>
      </w:pPr>
      <w:rPr>
        <w:rFonts w:hint="default"/>
      </w:rPr>
    </w:lvl>
    <w:lvl w:ilvl="3">
      <w:start w:val="1"/>
      <w:numFmt w:val="lowerLetter"/>
      <w:pStyle w:val="Titre4"/>
      <w:lvlText w:val="%4)"/>
      <w:lvlJc w:val="left"/>
      <w:pPr>
        <w:tabs>
          <w:tab w:val="num" w:pos="3088"/>
        </w:tabs>
        <w:ind w:left="2728" w:firstLine="0"/>
      </w:pPr>
      <w:rPr>
        <w:rFonts w:hint="default"/>
      </w:rPr>
    </w:lvl>
    <w:lvl w:ilvl="4">
      <w:start w:val="1"/>
      <w:numFmt w:val="decimal"/>
      <w:pStyle w:val="Titre5"/>
      <w:lvlText w:val="(%5)"/>
      <w:lvlJc w:val="left"/>
      <w:pPr>
        <w:tabs>
          <w:tab w:val="num" w:pos="3808"/>
        </w:tabs>
        <w:ind w:left="3448" w:firstLine="0"/>
      </w:pPr>
      <w:rPr>
        <w:rFonts w:hint="default"/>
      </w:rPr>
    </w:lvl>
    <w:lvl w:ilvl="5">
      <w:start w:val="1"/>
      <w:numFmt w:val="lowerLetter"/>
      <w:pStyle w:val="Titre6"/>
      <w:lvlText w:val="(%6)"/>
      <w:lvlJc w:val="left"/>
      <w:pPr>
        <w:tabs>
          <w:tab w:val="num" w:pos="4528"/>
        </w:tabs>
        <w:ind w:left="4168" w:firstLine="0"/>
      </w:pPr>
      <w:rPr>
        <w:rFonts w:hint="default"/>
      </w:rPr>
    </w:lvl>
    <w:lvl w:ilvl="6">
      <w:start w:val="1"/>
      <w:numFmt w:val="lowerRoman"/>
      <w:pStyle w:val="Titre7"/>
      <w:lvlText w:val="(%7)"/>
      <w:lvlJc w:val="left"/>
      <w:pPr>
        <w:tabs>
          <w:tab w:val="num" w:pos="5248"/>
        </w:tabs>
        <w:ind w:left="4888" w:firstLine="0"/>
      </w:pPr>
      <w:rPr>
        <w:rFonts w:hint="default"/>
      </w:rPr>
    </w:lvl>
    <w:lvl w:ilvl="7">
      <w:start w:val="1"/>
      <w:numFmt w:val="lowerLetter"/>
      <w:pStyle w:val="Titre8"/>
      <w:lvlText w:val="(%8)"/>
      <w:lvlJc w:val="left"/>
      <w:pPr>
        <w:tabs>
          <w:tab w:val="num" w:pos="5968"/>
        </w:tabs>
        <w:ind w:left="5608" w:firstLine="0"/>
      </w:pPr>
      <w:rPr>
        <w:rFonts w:hint="default"/>
      </w:rPr>
    </w:lvl>
    <w:lvl w:ilvl="8">
      <w:start w:val="1"/>
      <w:numFmt w:val="lowerRoman"/>
      <w:pStyle w:val="Titre9"/>
      <w:lvlText w:val="(%9)"/>
      <w:lvlJc w:val="left"/>
      <w:pPr>
        <w:tabs>
          <w:tab w:val="num" w:pos="6688"/>
        </w:tabs>
        <w:ind w:left="6328" w:firstLine="0"/>
      </w:pPr>
      <w:rPr>
        <w:rFonts w:hint="default"/>
      </w:rPr>
    </w:lvl>
  </w:abstractNum>
  <w:abstractNum w:abstractNumId="8">
    <w:nsid w:val="286E376E"/>
    <w:multiLevelType w:val="hybridMultilevel"/>
    <w:tmpl w:val="001C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294E8D"/>
    <w:multiLevelType w:val="hybridMultilevel"/>
    <w:tmpl w:val="77403BAC"/>
    <w:lvl w:ilvl="0" w:tplc="FD6475A8">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FD5762"/>
    <w:multiLevelType w:val="hybridMultilevel"/>
    <w:tmpl w:val="F0EE9952"/>
    <w:lvl w:ilvl="0" w:tplc="820C940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241B77"/>
    <w:multiLevelType w:val="hybridMultilevel"/>
    <w:tmpl w:val="911C6F88"/>
    <w:lvl w:ilvl="0" w:tplc="FD6475A8">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7B6FA0"/>
    <w:multiLevelType w:val="hybridMultilevel"/>
    <w:tmpl w:val="7EFC0382"/>
    <w:lvl w:ilvl="0" w:tplc="4296E5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EA43E8D"/>
    <w:multiLevelType w:val="hybridMultilevel"/>
    <w:tmpl w:val="AFA606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4960CC"/>
    <w:multiLevelType w:val="hybridMultilevel"/>
    <w:tmpl w:val="24F663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4D16185"/>
    <w:multiLevelType w:val="hybridMultilevel"/>
    <w:tmpl w:val="BFD835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AA3D5B"/>
    <w:multiLevelType w:val="hybridMultilevel"/>
    <w:tmpl w:val="31700606"/>
    <w:lvl w:ilvl="0" w:tplc="EC32D9F8">
      <w:numFmt w:val="bullet"/>
      <w:lvlText w:val="-"/>
      <w:lvlJc w:val="left"/>
      <w:pPr>
        <w:ind w:left="720" w:hanging="360"/>
      </w:pPr>
      <w:rPr>
        <w:rFonts w:ascii="Times New Roman" w:eastAsiaTheme="minorHAnsi" w:hAnsi="Times New Roman" w:cs="Times New Roman" w:hint="default"/>
      </w:rPr>
    </w:lvl>
    <w:lvl w:ilvl="1" w:tplc="8DEACED0">
      <w:start w:val="1"/>
      <w:numFmt w:val="decimal"/>
      <w:lvlText w:val="%2."/>
      <w:lvlJc w:val="left"/>
      <w:pPr>
        <w:ind w:left="1440" w:hanging="360"/>
      </w:pPr>
      <w:rPr>
        <w:rFonts w:hint="default"/>
      </w:rPr>
    </w:lvl>
    <w:lvl w:ilvl="2" w:tplc="A61E4BFA">
      <w:start w:val="1"/>
      <w:numFmt w:val="bullet"/>
      <w:lvlText w:val=""/>
      <w:lvlJc w:val="left"/>
      <w:pPr>
        <w:ind w:left="2160" w:hanging="360"/>
      </w:pPr>
      <w:rPr>
        <w:rFonts w:ascii="Wingdings" w:hAnsi="Wingdings" w:hint="default"/>
      </w:rPr>
    </w:lvl>
    <w:lvl w:ilvl="3" w:tplc="36ACCD24" w:tentative="1">
      <w:start w:val="1"/>
      <w:numFmt w:val="bullet"/>
      <w:lvlText w:val=""/>
      <w:lvlJc w:val="left"/>
      <w:pPr>
        <w:ind w:left="2880" w:hanging="360"/>
      </w:pPr>
      <w:rPr>
        <w:rFonts w:ascii="Symbol" w:hAnsi="Symbol" w:hint="default"/>
      </w:rPr>
    </w:lvl>
    <w:lvl w:ilvl="4" w:tplc="62FE2746" w:tentative="1">
      <w:start w:val="1"/>
      <w:numFmt w:val="bullet"/>
      <w:lvlText w:val="o"/>
      <w:lvlJc w:val="left"/>
      <w:pPr>
        <w:ind w:left="3600" w:hanging="360"/>
      </w:pPr>
      <w:rPr>
        <w:rFonts w:ascii="Courier New" w:hAnsi="Courier New" w:cs="Courier New" w:hint="default"/>
      </w:rPr>
    </w:lvl>
    <w:lvl w:ilvl="5" w:tplc="1C124072" w:tentative="1">
      <w:start w:val="1"/>
      <w:numFmt w:val="bullet"/>
      <w:lvlText w:val=""/>
      <w:lvlJc w:val="left"/>
      <w:pPr>
        <w:ind w:left="4320" w:hanging="360"/>
      </w:pPr>
      <w:rPr>
        <w:rFonts w:ascii="Wingdings" w:hAnsi="Wingdings" w:hint="default"/>
      </w:rPr>
    </w:lvl>
    <w:lvl w:ilvl="6" w:tplc="A564668E" w:tentative="1">
      <w:start w:val="1"/>
      <w:numFmt w:val="bullet"/>
      <w:lvlText w:val=""/>
      <w:lvlJc w:val="left"/>
      <w:pPr>
        <w:ind w:left="5040" w:hanging="360"/>
      </w:pPr>
      <w:rPr>
        <w:rFonts w:ascii="Symbol" w:hAnsi="Symbol" w:hint="default"/>
      </w:rPr>
    </w:lvl>
    <w:lvl w:ilvl="7" w:tplc="C3CA939E" w:tentative="1">
      <w:start w:val="1"/>
      <w:numFmt w:val="bullet"/>
      <w:lvlText w:val="o"/>
      <w:lvlJc w:val="left"/>
      <w:pPr>
        <w:ind w:left="5760" w:hanging="360"/>
      </w:pPr>
      <w:rPr>
        <w:rFonts w:ascii="Courier New" w:hAnsi="Courier New" w:cs="Courier New" w:hint="default"/>
      </w:rPr>
    </w:lvl>
    <w:lvl w:ilvl="8" w:tplc="7C623446" w:tentative="1">
      <w:start w:val="1"/>
      <w:numFmt w:val="bullet"/>
      <w:lvlText w:val=""/>
      <w:lvlJc w:val="left"/>
      <w:pPr>
        <w:ind w:left="6480" w:hanging="360"/>
      </w:pPr>
      <w:rPr>
        <w:rFonts w:ascii="Wingdings" w:hAnsi="Wingdings" w:hint="default"/>
      </w:rPr>
    </w:lvl>
  </w:abstractNum>
  <w:abstractNum w:abstractNumId="17">
    <w:nsid w:val="7E2647BE"/>
    <w:multiLevelType w:val="hybridMultilevel"/>
    <w:tmpl w:val="15D00A68"/>
    <w:lvl w:ilvl="0" w:tplc="FD6475A8">
      <w:numFmt w:val="bullet"/>
      <w:lvlText w:val="-"/>
      <w:lvlJc w:val="left"/>
      <w:pPr>
        <w:ind w:left="720" w:hanging="360"/>
      </w:pPr>
      <w:rPr>
        <w:rFonts w:ascii="Times New Roman" w:eastAsiaTheme="minorHAnsi" w:hAnsi="Times New Roman" w:cs="Times New Roman" w:hint="default"/>
      </w:rPr>
    </w:lvl>
    <w:lvl w:ilvl="1" w:tplc="0809000F">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7"/>
  </w:num>
  <w:num w:numId="4">
    <w:abstractNumId w:val="2"/>
  </w:num>
  <w:num w:numId="5">
    <w:abstractNumId w:val="6"/>
  </w:num>
  <w:num w:numId="6">
    <w:abstractNumId w:val="16"/>
  </w:num>
  <w:num w:numId="7">
    <w:abstractNumId w:val="9"/>
  </w:num>
  <w:num w:numId="8">
    <w:abstractNumId w:val="11"/>
  </w:num>
  <w:num w:numId="9">
    <w:abstractNumId w:val="7"/>
  </w:num>
  <w:num w:numId="10">
    <w:abstractNumId w:val="12"/>
  </w:num>
  <w:num w:numId="11">
    <w:abstractNumId w:val="13"/>
  </w:num>
  <w:num w:numId="12">
    <w:abstractNumId w:val="3"/>
  </w:num>
  <w:num w:numId="13">
    <w:abstractNumId w:val="15"/>
  </w:num>
  <w:num w:numId="14">
    <w:abstractNumId w:val="4"/>
  </w:num>
  <w:num w:numId="15">
    <w:abstractNumId w:val="0"/>
  </w:num>
  <w:num w:numId="16">
    <w:abstractNumId w:val="8"/>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hD Book EndNote 20131007&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fwepsrswaze5fe2velxxsppptdpaz9f9s9z&quot;&gt;Thesis_Library&lt;record-ids&gt;&lt;item&gt;43&lt;/item&gt;&lt;item&gt;77&lt;/item&gt;&lt;item&gt;173&lt;/item&gt;&lt;item&gt;180&lt;/item&gt;&lt;item&gt;217&lt;/item&gt;&lt;item&gt;229&lt;/item&gt;&lt;item&gt;236&lt;/item&gt;&lt;item&gt;266&lt;/item&gt;&lt;item&gt;300&lt;/item&gt;&lt;item&gt;301&lt;/item&gt;&lt;item&gt;302&lt;/item&gt;&lt;item&gt;303&lt;/item&gt;&lt;item&gt;305&lt;/item&gt;&lt;item&gt;306&lt;/item&gt;&lt;item&gt;307&lt;/item&gt;&lt;item&gt;308&lt;/item&gt;&lt;item&gt;309&lt;/item&gt;&lt;item&gt;310&lt;/item&gt;&lt;item&gt;313&lt;/item&gt;&lt;/record-ids&gt;&lt;/item&gt;&lt;/Libraries&gt;"/>
  </w:docVars>
  <w:rsids>
    <w:rsidRoot w:val="005D3FBB"/>
    <w:rsid w:val="00002018"/>
    <w:rsid w:val="00002675"/>
    <w:rsid w:val="000037C4"/>
    <w:rsid w:val="000040EC"/>
    <w:rsid w:val="00004D1D"/>
    <w:rsid w:val="000055AE"/>
    <w:rsid w:val="00005CA2"/>
    <w:rsid w:val="00005F46"/>
    <w:rsid w:val="000109F9"/>
    <w:rsid w:val="00010F15"/>
    <w:rsid w:val="000115A9"/>
    <w:rsid w:val="000132D7"/>
    <w:rsid w:val="00013412"/>
    <w:rsid w:val="00014E9A"/>
    <w:rsid w:val="00016B5A"/>
    <w:rsid w:val="000174AC"/>
    <w:rsid w:val="00017D8C"/>
    <w:rsid w:val="000215E7"/>
    <w:rsid w:val="0002160E"/>
    <w:rsid w:val="00022498"/>
    <w:rsid w:val="000230DC"/>
    <w:rsid w:val="00024833"/>
    <w:rsid w:val="000258E9"/>
    <w:rsid w:val="000308CC"/>
    <w:rsid w:val="0003316E"/>
    <w:rsid w:val="00033BD5"/>
    <w:rsid w:val="00033FB4"/>
    <w:rsid w:val="00035910"/>
    <w:rsid w:val="000361E0"/>
    <w:rsid w:val="00036D38"/>
    <w:rsid w:val="00042ED2"/>
    <w:rsid w:val="00044769"/>
    <w:rsid w:val="000451C8"/>
    <w:rsid w:val="000461FD"/>
    <w:rsid w:val="000463B3"/>
    <w:rsid w:val="00052AE5"/>
    <w:rsid w:val="0005306D"/>
    <w:rsid w:val="00053DD2"/>
    <w:rsid w:val="0005471D"/>
    <w:rsid w:val="00054844"/>
    <w:rsid w:val="000548D8"/>
    <w:rsid w:val="0005538E"/>
    <w:rsid w:val="00056B8A"/>
    <w:rsid w:val="00056F45"/>
    <w:rsid w:val="00057FF3"/>
    <w:rsid w:val="000604F6"/>
    <w:rsid w:val="00061B06"/>
    <w:rsid w:val="00064116"/>
    <w:rsid w:val="00066431"/>
    <w:rsid w:val="00066C25"/>
    <w:rsid w:val="00066ECA"/>
    <w:rsid w:val="0006716F"/>
    <w:rsid w:val="0006797E"/>
    <w:rsid w:val="00072650"/>
    <w:rsid w:val="0007292B"/>
    <w:rsid w:val="00072A93"/>
    <w:rsid w:val="0007424F"/>
    <w:rsid w:val="000753F0"/>
    <w:rsid w:val="00075DD9"/>
    <w:rsid w:val="00076795"/>
    <w:rsid w:val="00077919"/>
    <w:rsid w:val="000812E4"/>
    <w:rsid w:val="0008288D"/>
    <w:rsid w:val="000831B3"/>
    <w:rsid w:val="00084A30"/>
    <w:rsid w:val="00085550"/>
    <w:rsid w:val="0008669A"/>
    <w:rsid w:val="00086935"/>
    <w:rsid w:val="00087810"/>
    <w:rsid w:val="000879CE"/>
    <w:rsid w:val="00091450"/>
    <w:rsid w:val="00092D50"/>
    <w:rsid w:val="0009345E"/>
    <w:rsid w:val="00093A0F"/>
    <w:rsid w:val="0009421F"/>
    <w:rsid w:val="0009599E"/>
    <w:rsid w:val="00097836"/>
    <w:rsid w:val="000A13EB"/>
    <w:rsid w:val="000A4950"/>
    <w:rsid w:val="000A5F13"/>
    <w:rsid w:val="000B206F"/>
    <w:rsid w:val="000B2E13"/>
    <w:rsid w:val="000B389B"/>
    <w:rsid w:val="000B4705"/>
    <w:rsid w:val="000B6D2C"/>
    <w:rsid w:val="000B718C"/>
    <w:rsid w:val="000B78DA"/>
    <w:rsid w:val="000B7C42"/>
    <w:rsid w:val="000C03CB"/>
    <w:rsid w:val="000C0B87"/>
    <w:rsid w:val="000C26FC"/>
    <w:rsid w:val="000C2F36"/>
    <w:rsid w:val="000C32D5"/>
    <w:rsid w:val="000C421B"/>
    <w:rsid w:val="000C4DA2"/>
    <w:rsid w:val="000C555A"/>
    <w:rsid w:val="000C6E20"/>
    <w:rsid w:val="000C777E"/>
    <w:rsid w:val="000D2DCC"/>
    <w:rsid w:val="000D7DA7"/>
    <w:rsid w:val="000D7E97"/>
    <w:rsid w:val="000E2D87"/>
    <w:rsid w:val="000E3E75"/>
    <w:rsid w:val="000E482B"/>
    <w:rsid w:val="000E5923"/>
    <w:rsid w:val="000E5E7E"/>
    <w:rsid w:val="000E672D"/>
    <w:rsid w:val="000E6A0B"/>
    <w:rsid w:val="000E6DAB"/>
    <w:rsid w:val="000F0D7B"/>
    <w:rsid w:val="000F0F50"/>
    <w:rsid w:val="000F0F5A"/>
    <w:rsid w:val="000F1EC9"/>
    <w:rsid w:val="000F3EB8"/>
    <w:rsid w:val="000F49D8"/>
    <w:rsid w:val="000F4F13"/>
    <w:rsid w:val="000F71C3"/>
    <w:rsid w:val="000F79B3"/>
    <w:rsid w:val="00100677"/>
    <w:rsid w:val="001013E6"/>
    <w:rsid w:val="00101588"/>
    <w:rsid w:val="001029BA"/>
    <w:rsid w:val="001032C6"/>
    <w:rsid w:val="001032EB"/>
    <w:rsid w:val="001034E4"/>
    <w:rsid w:val="00105D43"/>
    <w:rsid w:val="00107920"/>
    <w:rsid w:val="0011103D"/>
    <w:rsid w:val="00112304"/>
    <w:rsid w:val="001125BC"/>
    <w:rsid w:val="00113F5A"/>
    <w:rsid w:val="001154AF"/>
    <w:rsid w:val="00115779"/>
    <w:rsid w:val="00120F80"/>
    <w:rsid w:val="0012312A"/>
    <w:rsid w:val="00123900"/>
    <w:rsid w:val="00123FAA"/>
    <w:rsid w:val="001251B6"/>
    <w:rsid w:val="00125358"/>
    <w:rsid w:val="001255E3"/>
    <w:rsid w:val="001261DA"/>
    <w:rsid w:val="001264F5"/>
    <w:rsid w:val="0012665E"/>
    <w:rsid w:val="00127610"/>
    <w:rsid w:val="001300A4"/>
    <w:rsid w:val="0013163B"/>
    <w:rsid w:val="00132088"/>
    <w:rsid w:val="00134AD0"/>
    <w:rsid w:val="0013574F"/>
    <w:rsid w:val="001358A8"/>
    <w:rsid w:val="00136A1D"/>
    <w:rsid w:val="001373B9"/>
    <w:rsid w:val="001402CB"/>
    <w:rsid w:val="00140D4A"/>
    <w:rsid w:val="001416B5"/>
    <w:rsid w:val="001422B5"/>
    <w:rsid w:val="00142B2E"/>
    <w:rsid w:val="00142ECC"/>
    <w:rsid w:val="00146361"/>
    <w:rsid w:val="00150208"/>
    <w:rsid w:val="00150C92"/>
    <w:rsid w:val="00150FFD"/>
    <w:rsid w:val="00151A71"/>
    <w:rsid w:val="00154067"/>
    <w:rsid w:val="0016195C"/>
    <w:rsid w:val="00161D59"/>
    <w:rsid w:val="00162674"/>
    <w:rsid w:val="0016413A"/>
    <w:rsid w:val="00165511"/>
    <w:rsid w:val="00165BEA"/>
    <w:rsid w:val="00166C43"/>
    <w:rsid w:val="00167244"/>
    <w:rsid w:val="00173A2F"/>
    <w:rsid w:val="00175698"/>
    <w:rsid w:val="00175916"/>
    <w:rsid w:val="00176BE0"/>
    <w:rsid w:val="0017753F"/>
    <w:rsid w:val="0017769A"/>
    <w:rsid w:val="00180A0C"/>
    <w:rsid w:val="00180B12"/>
    <w:rsid w:val="0018367C"/>
    <w:rsid w:val="00185631"/>
    <w:rsid w:val="0018600D"/>
    <w:rsid w:val="001874E2"/>
    <w:rsid w:val="00187F51"/>
    <w:rsid w:val="00191846"/>
    <w:rsid w:val="0019337B"/>
    <w:rsid w:val="001950E6"/>
    <w:rsid w:val="00195D80"/>
    <w:rsid w:val="0019621A"/>
    <w:rsid w:val="00196295"/>
    <w:rsid w:val="0019713B"/>
    <w:rsid w:val="001A1283"/>
    <w:rsid w:val="001A1557"/>
    <w:rsid w:val="001A2DC1"/>
    <w:rsid w:val="001A3506"/>
    <w:rsid w:val="001A51A4"/>
    <w:rsid w:val="001A52F4"/>
    <w:rsid w:val="001A6163"/>
    <w:rsid w:val="001A728B"/>
    <w:rsid w:val="001B14CF"/>
    <w:rsid w:val="001B183E"/>
    <w:rsid w:val="001B4199"/>
    <w:rsid w:val="001B49E6"/>
    <w:rsid w:val="001B521A"/>
    <w:rsid w:val="001B6FE0"/>
    <w:rsid w:val="001B76AB"/>
    <w:rsid w:val="001C024B"/>
    <w:rsid w:val="001C0F54"/>
    <w:rsid w:val="001C1BF0"/>
    <w:rsid w:val="001C22F3"/>
    <w:rsid w:val="001C2E43"/>
    <w:rsid w:val="001C3A1B"/>
    <w:rsid w:val="001C443A"/>
    <w:rsid w:val="001C4B7A"/>
    <w:rsid w:val="001C5DC4"/>
    <w:rsid w:val="001C6F7A"/>
    <w:rsid w:val="001C73AA"/>
    <w:rsid w:val="001C75F3"/>
    <w:rsid w:val="001D2BED"/>
    <w:rsid w:val="001D2FC2"/>
    <w:rsid w:val="001D40FE"/>
    <w:rsid w:val="001D6A0C"/>
    <w:rsid w:val="001D7DEE"/>
    <w:rsid w:val="001E0258"/>
    <w:rsid w:val="001E141C"/>
    <w:rsid w:val="001E294A"/>
    <w:rsid w:val="001E733E"/>
    <w:rsid w:val="001E77B0"/>
    <w:rsid w:val="001F0894"/>
    <w:rsid w:val="001F1D84"/>
    <w:rsid w:val="001F2626"/>
    <w:rsid w:val="001F3BFC"/>
    <w:rsid w:val="001F512A"/>
    <w:rsid w:val="001F52EE"/>
    <w:rsid w:val="001F5EA0"/>
    <w:rsid w:val="001F6225"/>
    <w:rsid w:val="00200035"/>
    <w:rsid w:val="00200A53"/>
    <w:rsid w:val="00201B8E"/>
    <w:rsid w:val="00204D1C"/>
    <w:rsid w:val="00210100"/>
    <w:rsid w:val="0021160E"/>
    <w:rsid w:val="00211F98"/>
    <w:rsid w:val="0021285B"/>
    <w:rsid w:val="00214548"/>
    <w:rsid w:val="00216124"/>
    <w:rsid w:val="002161DA"/>
    <w:rsid w:val="00216232"/>
    <w:rsid w:val="002174D8"/>
    <w:rsid w:val="00217796"/>
    <w:rsid w:val="0022064B"/>
    <w:rsid w:val="00221339"/>
    <w:rsid w:val="00222C57"/>
    <w:rsid w:val="002240EE"/>
    <w:rsid w:val="0023156F"/>
    <w:rsid w:val="002337E8"/>
    <w:rsid w:val="002352D7"/>
    <w:rsid w:val="002366B2"/>
    <w:rsid w:val="00236804"/>
    <w:rsid w:val="00237785"/>
    <w:rsid w:val="00240665"/>
    <w:rsid w:val="002440A0"/>
    <w:rsid w:val="00244D58"/>
    <w:rsid w:val="00244D6D"/>
    <w:rsid w:val="00246B46"/>
    <w:rsid w:val="00246DE5"/>
    <w:rsid w:val="00247837"/>
    <w:rsid w:val="00250A88"/>
    <w:rsid w:val="00251830"/>
    <w:rsid w:val="00252CF2"/>
    <w:rsid w:val="00261068"/>
    <w:rsid w:val="00261129"/>
    <w:rsid w:val="00262080"/>
    <w:rsid w:val="002620CA"/>
    <w:rsid w:val="00263423"/>
    <w:rsid w:val="0026376C"/>
    <w:rsid w:val="00263C4F"/>
    <w:rsid w:val="00270011"/>
    <w:rsid w:val="00270747"/>
    <w:rsid w:val="00270754"/>
    <w:rsid w:val="002708E4"/>
    <w:rsid w:val="00271239"/>
    <w:rsid w:val="00272C8B"/>
    <w:rsid w:val="00273578"/>
    <w:rsid w:val="00273C8D"/>
    <w:rsid w:val="00273CC6"/>
    <w:rsid w:val="00274828"/>
    <w:rsid w:val="00275A06"/>
    <w:rsid w:val="00276EFF"/>
    <w:rsid w:val="0028083F"/>
    <w:rsid w:val="002812B8"/>
    <w:rsid w:val="00281A83"/>
    <w:rsid w:val="00281AE0"/>
    <w:rsid w:val="00283D5F"/>
    <w:rsid w:val="0028454E"/>
    <w:rsid w:val="00284B8D"/>
    <w:rsid w:val="00285120"/>
    <w:rsid w:val="00285C11"/>
    <w:rsid w:val="0028769C"/>
    <w:rsid w:val="00291CA3"/>
    <w:rsid w:val="00292932"/>
    <w:rsid w:val="00292C2C"/>
    <w:rsid w:val="0029382C"/>
    <w:rsid w:val="00293945"/>
    <w:rsid w:val="00294A37"/>
    <w:rsid w:val="00297088"/>
    <w:rsid w:val="00297C1C"/>
    <w:rsid w:val="002A0502"/>
    <w:rsid w:val="002A0681"/>
    <w:rsid w:val="002A0FAD"/>
    <w:rsid w:val="002A165E"/>
    <w:rsid w:val="002A2A09"/>
    <w:rsid w:val="002A2C06"/>
    <w:rsid w:val="002A2DB6"/>
    <w:rsid w:val="002A3F92"/>
    <w:rsid w:val="002B2CF1"/>
    <w:rsid w:val="002B344F"/>
    <w:rsid w:val="002B51B9"/>
    <w:rsid w:val="002B62D6"/>
    <w:rsid w:val="002C01BA"/>
    <w:rsid w:val="002C07E0"/>
    <w:rsid w:val="002C0F8B"/>
    <w:rsid w:val="002C17B4"/>
    <w:rsid w:val="002C1C1E"/>
    <w:rsid w:val="002C291B"/>
    <w:rsid w:val="002C5608"/>
    <w:rsid w:val="002C5A2B"/>
    <w:rsid w:val="002C62F8"/>
    <w:rsid w:val="002D09AB"/>
    <w:rsid w:val="002D0AB1"/>
    <w:rsid w:val="002D1897"/>
    <w:rsid w:val="002D2340"/>
    <w:rsid w:val="002D3601"/>
    <w:rsid w:val="002D4449"/>
    <w:rsid w:val="002D6B91"/>
    <w:rsid w:val="002D7235"/>
    <w:rsid w:val="002D7C48"/>
    <w:rsid w:val="002E2588"/>
    <w:rsid w:val="002E28B7"/>
    <w:rsid w:val="002E2984"/>
    <w:rsid w:val="002E3CD2"/>
    <w:rsid w:val="002E639B"/>
    <w:rsid w:val="002E7D1E"/>
    <w:rsid w:val="002F0019"/>
    <w:rsid w:val="002F02AC"/>
    <w:rsid w:val="002F088D"/>
    <w:rsid w:val="002F272B"/>
    <w:rsid w:val="002F2BDF"/>
    <w:rsid w:val="002F37DD"/>
    <w:rsid w:val="002F5327"/>
    <w:rsid w:val="002F5EFC"/>
    <w:rsid w:val="002F6F1E"/>
    <w:rsid w:val="003006CB"/>
    <w:rsid w:val="0030071C"/>
    <w:rsid w:val="00301C58"/>
    <w:rsid w:val="003036F3"/>
    <w:rsid w:val="00304031"/>
    <w:rsid w:val="00304AA0"/>
    <w:rsid w:val="00304CD6"/>
    <w:rsid w:val="00305674"/>
    <w:rsid w:val="00305BCD"/>
    <w:rsid w:val="00305FF9"/>
    <w:rsid w:val="0030656B"/>
    <w:rsid w:val="00306B82"/>
    <w:rsid w:val="0031143D"/>
    <w:rsid w:val="00311D26"/>
    <w:rsid w:val="0031301D"/>
    <w:rsid w:val="00313663"/>
    <w:rsid w:val="00313947"/>
    <w:rsid w:val="00314F4C"/>
    <w:rsid w:val="00315C2A"/>
    <w:rsid w:val="00316DC6"/>
    <w:rsid w:val="00317B9D"/>
    <w:rsid w:val="003200A7"/>
    <w:rsid w:val="0032158D"/>
    <w:rsid w:val="00321A6C"/>
    <w:rsid w:val="00321F0B"/>
    <w:rsid w:val="00322647"/>
    <w:rsid w:val="00322F19"/>
    <w:rsid w:val="00323AA1"/>
    <w:rsid w:val="00326264"/>
    <w:rsid w:val="00326640"/>
    <w:rsid w:val="00326B96"/>
    <w:rsid w:val="00326E9B"/>
    <w:rsid w:val="003272E0"/>
    <w:rsid w:val="00332F27"/>
    <w:rsid w:val="003346CF"/>
    <w:rsid w:val="003360FB"/>
    <w:rsid w:val="00336459"/>
    <w:rsid w:val="0034186B"/>
    <w:rsid w:val="00341D09"/>
    <w:rsid w:val="00342C43"/>
    <w:rsid w:val="003431A2"/>
    <w:rsid w:val="0034328C"/>
    <w:rsid w:val="00344A25"/>
    <w:rsid w:val="00344A7D"/>
    <w:rsid w:val="00345BDD"/>
    <w:rsid w:val="00346388"/>
    <w:rsid w:val="003507BB"/>
    <w:rsid w:val="00350C31"/>
    <w:rsid w:val="00351ED4"/>
    <w:rsid w:val="003520FD"/>
    <w:rsid w:val="003531FB"/>
    <w:rsid w:val="00354C13"/>
    <w:rsid w:val="00357226"/>
    <w:rsid w:val="00361975"/>
    <w:rsid w:val="00361C0B"/>
    <w:rsid w:val="00362658"/>
    <w:rsid w:val="00362E5F"/>
    <w:rsid w:val="00365085"/>
    <w:rsid w:val="00365088"/>
    <w:rsid w:val="003661E1"/>
    <w:rsid w:val="00366319"/>
    <w:rsid w:val="0036758F"/>
    <w:rsid w:val="003676F3"/>
    <w:rsid w:val="00370398"/>
    <w:rsid w:val="003715BB"/>
    <w:rsid w:val="00371DB3"/>
    <w:rsid w:val="003720EC"/>
    <w:rsid w:val="003723BA"/>
    <w:rsid w:val="00372CE1"/>
    <w:rsid w:val="00375B30"/>
    <w:rsid w:val="003777FF"/>
    <w:rsid w:val="00382E14"/>
    <w:rsid w:val="00383AA1"/>
    <w:rsid w:val="00383D7E"/>
    <w:rsid w:val="00385AD5"/>
    <w:rsid w:val="00385DEE"/>
    <w:rsid w:val="0039015C"/>
    <w:rsid w:val="0039191D"/>
    <w:rsid w:val="00393B4B"/>
    <w:rsid w:val="00394081"/>
    <w:rsid w:val="00395F05"/>
    <w:rsid w:val="00396CF3"/>
    <w:rsid w:val="003974CF"/>
    <w:rsid w:val="00397C7B"/>
    <w:rsid w:val="00397F0A"/>
    <w:rsid w:val="003A0B53"/>
    <w:rsid w:val="003A11E1"/>
    <w:rsid w:val="003A2990"/>
    <w:rsid w:val="003A2B94"/>
    <w:rsid w:val="003A43AB"/>
    <w:rsid w:val="003A5302"/>
    <w:rsid w:val="003A6443"/>
    <w:rsid w:val="003A6611"/>
    <w:rsid w:val="003A693A"/>
    <w:rsid w:val="003A7D3E"/>
    <w:rsid w:val="003B12A6"/>
    <w:rsid w:val="003B145E"/>
    <w:rsid w:val="003B2FF5"/>
    <w:rsid w:val="003B5762"/>
    <w:rsid w:val="003B68F1"/>
    <w:rsid w:val="003C620A"/>
    <w:rsid w:val="003D086E"/>
    <w:rsid w:val="003D0A3C"/>
    <w:rsid w:val="003D2202"/>
    <w:rsid w:val="003D4786"/>
    <w:rsid w:val="003D4A4B"/>
    <w:rsid w:val="003D4E3D"/>
    <w:rsid w:val="003D512E"/>
    <w:rsid w:val="003D52C0"/>
    <w:rsid w:val="003D63DA"/>
    <w:rsid w:val="003D648F"/>
    <w:rsid w:val="003D650B"/>
    <w:rsid w:val="003D6F79"/>
    <w:rsid w:val="003D76C1"/>
    <w:rsid w:val="003E1282"/>
    <w:rsid w:val="003E16EB"/>
    <w:rsid w:val="003E3816"/>
    <w:rsid w:val="003E3948"/>
    <w:rsid w:val="003E3ECD"/>
    <w:rsid w:val="003E4225"/>
    <w:rsid w:val="003E4EE8"/>
    <w:rsid w:val="003F0833"/>
    <w:rsid w:val="003F35A2"/>
    <w:rsid w:val="003F4481"/>
    <w:rsid w:val="003F452F"/>
    <w:rsid w:val="003F4DDA"/>
    <w:rsid w:val="003F7705"/>
    <w:rsid w:val="00401277"/>
    <w:rsid w:val="0040349D"/>
    <w:rsid w:val="004034B0"/>
    <w:rsid w:val="00407796"/>
    <w:rsid w:val="00411034"/>
    <w:rsid w:val="00415BBF"/>
    <w:rsid w:val="00416176"/>
    <w:rsid w:val="00417D9A"/>
    <w:rsid w:val="0042023A"/>
    <w:rsid w:val="0042057E"/>
    <w:rsid w:val="0042100A"/>
    <w:rsid w:val="0042103F"/>
    <w:rsid w:val="00422F14"/>
    <w:rsid w:val="004251C1"/>
    <w:rsid w:val="00426401"/>
    <w:rsid w:val="00426767"/>
    <w:rsid w:val="00426915"/>
    <w:rsid w:val="0043000E"/>
    <w:rsid w:val="00431091"/>
    <w:rsid w:val="0043266E"/>
    <w:rsid w:val="00433C97"/>
    <w:rsid w:val="004350E5"/>
    <w:rsid w:val="00436173"/>
    <w:rsid w:val="00436B25"/>
    <w:rsid w:val="00436E53"/>
    <w:rsid w:val="0043718E"/>
    <w:rsid w:val="00442DCA"/>
    <w:rsid w:val="0044414B"/>
    <w:rsid w:val="004442BF"/>
    <w:rsid w:val="004446AF"/>
    <w:rsid w:val="004468A9"/>
    <w:rsid w:val="0044710C"/>
    <w:rsid w:val="004502CA"/>
    <w:rsid w:val="00450F92"/>
    <w:rsid w:val="004514B1"/>
    <w:rsid w:val="00452703"/>
    <w:rsid w:val="004529EB"/>
    <w:rsid w:val="00452B9C"/>
    <w:rsid w:val="00452D63"/>
    <w:rsid w:val="00453F10"/>
    <w:rsid w:val="004543D2"/>
    <w:rsid w:val="00455D74"/>
    <w:rsid w:val="0045723F"/>
    <w:rsid w:val="00461E7F"/>
    <w:rsid w:val="00462343"/>
    <w:rsid w:val="004628E2"/>
    <w:rsid w:val="004635FF"/>
    <w:rsid w:val="00464B85"/>
    <w:rsid w:val="00466A13"/>
    <w:rsid w:val="00466F14"/>
    <w:rsid w:val="00471D6E"/>
    <w:rsid w:val="00474734"/>
    <w:rsid w:val="0047502A"/>
    <w:rsid w:val="00477065"/>
    <w:rsid w:val="00477B57"/>
    <w:rsid w:val="00480730"/>
    <w:rsid w:val="0048123E"/>
    <w:rsid w:val="00481D2A"/>
    <w:rsid w:val="0048220F"/>
    <w:rsid w:val="00482352"/>
    <w:rsid w:val="00484930"/>
    <w:rsid w:val="004862F8"/>
    <w:rsid w:val="004863A7"/>
    <w:rsid w:val="00491AD3"/>
    <w:rsid w:val="004921BD"/>
    <w:rsid w:val="00493B20"/>
    <w:rsid w:val="0049460B"/>
    <w:rsid w:val="00495061"/>
    <w:rsid w:val="0049713F"/>
    <w:rsid w:val="004A1EBC"/>
    <w:rsid w:val="004A24E3"/>
    <w:rsid w:val="004A3820"/>
    <w:rsid w:val="004A40CC"/>
    <w:rsid w:val="004A4483"/>
    <w:rsid w:val="004A5635"/>
    <w:rsid w:val="004A63B6"/>
    <w:rsid w:val="004A6E09"/>
    <w:rsid w:val="004A7315"/>
    <w:rsid w:val="004B5A21"/>
    <w:rsid w:val="004B69EA"/>
    <w:rsid w:val="004B6F5C"/>
    <w:rsid w:val="004C03BB"/>
    <w:rsid w:val="004C15EA"/>
    <w:rsid w:val="004C1C1F"/>
    <w:rsid w:val="004C2718"/>
    <w:rsid w:val="004C4B88"/>
    <w:rsid w:val="004C5753"/>
    <w:rsid w:val="004C657C"/>
    <w:rsid w:val="004C6CBF"/>
    <w:rsid w:val="004C7FC6"/>
    <w:rsid w:val="004D0BED"/>
    <w:rsid w:val="004D1CD9"/>
    <w:rsid w:val="004D28A2"/>
    <w:rsid w:val="004D2A47"/>
    <w:rsid w:val="004D3607"/>
    <w:rsid w:val="004D5A15"/>
    <w:rsid w:val="004D6763"/>
    <w:rsid w:val="004D6E88"/>
    <w:rsid w:val="004D7F72"/>
    <w:rsid w:val="004E0BAF"/>
    <w:rsid w:val="004E1C6B"/>
    <w:rsid w:val="004E1D32"/>
    <w:rsid w:val="004E2CF3"/>
    <w:rsid w:val="004E4446"/>
    <w:rsid w:val="004E56B9"/>
    <w:rsid w:val="004E5729"/>
    <w:rsid w:val="004E5C15"/>
    <w:rsid w:val="004E5C61"/>
    <w:rsid w:val="004E71AA"/>
    <w:rsid w:val="004E747E"/>
    <w:rsid w:val="004E7D41"/>
    <w:rsid w:val="004F0E0B"/>
    <w:rsid w:val="004F2E82"/>
    <w:rsid w:val="004F2E95"/>
    <w:rsid w:val="004F3144"/>
    <w:rsid w:val="004F4962"/>
    <w:rsid w:val="004F4F23"/>
    <w:rsid w:val="005000DC"/>
    <w:rsid w:val="00500132"/>
    <w:rsid w:val="005001D3"/>
    <w:rsid w:val="00502249"/>
    <w:rsid w:val="00502C30"/>
    <w:rsid w:val="00503989"/>
    <w:rsid w:val="005039F0"/>
    <w:rsid w:val="00504461"/>
    <w:rsid w:val="00507187"/>
    <w:rsid w:val="005079C1"/>
    <w:rsid w:val="00507EB9"/>
    <w:rsid w:val="0051060E"/>
    <w:rsid w:val="00511DAB"/>
    <w:rsid w:val="005120FB"/>
    <w:rsid w:val="00512C2F"/>
    <w:rsid w:val="0051339B"/>
    <w:rsid w:val="005152B8"/>
    <w:rsid w:val="00515784"/>
    <w:rsid w:val="00520103"/>
    <w:rsid w:val="0052297C"/>
    <w:rsid w:val="00523206"/>
    <w:rsid w:val="00524D30"/>
    <w:rsid w:val="00525DB2"/>
    <w:rsid w:val="005262CA"/>
    <w:rsid w:val="005265B2"/>
    <w:rsid w:val="0052714A"/>
    <w:rsid w:val="00530BD4"/>
    <w:rsid w:val="00531B6A"/>
    <w:rsid w:val="005327C2"/>
    <w:rsid w:val="00532EAF"/>
    <w:rsid w:val="00534149"/>
    <w:rsid w:val="005351A7"/>
    <w:rsid w:val="00537543"/>
    <w:rsid w:val="00540FD3"/>
    <w:rsid w:val="00541123"/>
    <w:rsid w:val="00543CFB"/>
    <w:rsid w:val="005442ED"/>
    <w:rsid w:val="005444F5"/>
    <w:rsid w:val="005456B4"/>
    <w:rsid w:val="005475E4"/>
    <w:rsid w:val="005507B9"/>
    <w:rsid w:val="005546BD"/>
    <w:rsid w:val="005554E4"/>
    <w:rsid w:val="00555AFE"/>
    <w:rsid w:val="00556951"/>
    <w:rsid w:val="00556981"/>
    <w:rsid w:val="00560323"/>
    <w:rsid w:val="00560C5A"/>
    <w:rsid w:val="005618B6"/>
    <w:rsid w:val="005619BD"/>
    <w:rsid w:val="00562185"/>
    <w:rsid w:val="005631E9"/>
    <w:rsid w:val="005638B4"/>
    <w:rsid w:val="00564064"/>
    <w:rsid w:val="0056769E"/>
    <w:rsid w:val="005709A9"/>
    <w:rsid w:val="005715B0"/>
    <w:rsid w:val="0057229E"/>
    <w:rsid w:val="00572523"/>
    <w:rsid w:val="00572647"/>
    <w:rsid w:val="00572FA8"/>
    <w:rsid w:val="0057338E"/>
    <w:rsid w:val="00573836"/>
    <w:rsid w:val="005746D7"/>
    <w:rsid w:val="00574BCA"/>
    <w:rsid w:val="00577169"/>
    <w:rsid w:val="0057789D"/>
    <w:rsid w:val="0058261D"/>
    <w:rsid w:val="00583C0D"/>
    <w:rsid w:val="00583E62"/>
    <w:rsid w:val="005866B1"/>
    <w:rsid w:val="00586C06"/>
    <w:rsid w:val="00586CAC"/>
    <w:rsid w:val="005876CC"/>
    <w:rsid w:val="00587FFC"/>
    <w:rsid w:val="005901E7"/>
    <w:rsid w:val="00590B2B"/>
    <w:rsid w:val="00591222"/>
    <w:rsid w:val="005924FD"/>
    <w:rsid w:val="00593105"/>
    <w:rsid w:val="00593223"/>
    <w:rsid w:val="00593A1D"/>
    <w:rsid w:val="00594698"/>
    <w:rsid w:val="00594E36"/>
    <w:rsid w:val="00597F41"/>
    <w:rsid w:val="005A138F"/>
    <w:rsid w:val="005A15A7"/>
    <w:rsid w:val="005A1E65"/>
    <w:rsid w:val="005A225E"/>
    <w:rsid w:val="005A298B"/>
    <w:rsid w:val="005A3ABD"/>
    <w:rsid w:val="005A46EC"/>
    <w:rsid w:val="005A53EB"/>
    <w:rsid w:val="005A7324"/>
    <w:rsid w:val="005B0044"/>
    <w:rsid w:val="005B1B65"/>
    <w:rsid w:val="005B1C88"/>
    <w:rsid w:val="005B5C45"/>
    <w:rsid w:val="005B605E"/>
    <w:rsid w:val="005B7ADC"/>
    <w:rsid w:val="005C5CBD"/>
    <w:rsid w:val="005C5CE6"/>
    <w:rsid w:val="005D0477"/>
    <w:rsid w:val="005D1024"/>
    <w:rsid w:val="005D1B2B"/>
    <w:rsid w:val="005D2B63"/>
    <w:rsid w:val="005D3FBB"/>
    <w:rsid w:val="005D4CDA"/>
    <w:rsid w:val="005D5984"/>
    <w:rsid w:val="005D7ABF"/>
    <w:rsid w:val="005D7EFB"/>
    <w:rsid w:val="005E0B23"/>
    <w:rsid w:val="005E1208"/>
    <w:rsid w:val="005E1DA1"/>
    <w:rsid w:val="005E4DE8"/>
    <w:rsid w:val="005E56B7"/>
    <w:rsid w:val="005E6376"/>
    <w:rsid w:val="005E6848"/>
    <w:rsid w:val="005E6C4F"/>
    <w:rsid w:val="005E74FC"/>
    <w:rsid w:val="005F03AA"/>
    <w:rsid w:val="005F1878"/>
    <w:rsid w:val="005F289C"/>
    <w:rsid w:val="005F33EA"/>
    <w:rsid w:val="005F44F2"/>
    <w:rsid w:val="005F5352"/>
    <w:rsid w:val="005F6FD5"/>
    <w:rsid w:val="005F786E"/>
    <w:rsid w:val="006003DB"/>
    <w:rsid w:val="00600557"/>
    <w:rsid w:val="006014B7"/>
    <w:rsid w:val="0060245C"/>
    <w:rsid w:val="00603D35"/>
    <w:rsid w:val="00604D41"/>
    <w:rsid w:val="00607635"/>
    <w:rsid w:val="00607FD3"/>
    <w:rsid w:val="00612EF8"/>
    <w:rsid w:val="00615831"/>
    <w:rsid w:val="00616AD4"/>
    <w:rsid w:val="00620815"/>
    <w:rsid w:val="00620FFB"/>
    <w:rsid w:val="00621F0F"/>
    <w:rsid w:val="006228FE"/>
    <w:rsid w:val="00625CC3"/>
    <w:rsid w:val="006274F0"/>
    <w:rsid w:val="00630C5D"/>
    <w:rsid w:val="00634770"/>
    <w:rsid w:val="00634A2F"/>
    <w:rsid w:val="00635888"/>
    <w:rsid w:val="006360D5"/>
    <w:rsid w:val="0063634D"/>
    <w:rsid w:val="00637423"/>
    <w:rsid w:val="00637A8F"/>
    <w:rsid w:val="00640EE9"/>
    <w:rsid w:val="006416FF"/>
    <w:rsid w:val="00641F61"/>
    <w:rsid w:val="00645164"/>
    <w:rsid w:val="00647637"/>
    <w:rsid w:val="00647967"/>
    <w:rsid w:val="00652874"/>
    <w:rsid w:val="00652E74"/>
    <w:rsid w:val="00653695"/>
    <w:rsid w:val="0065486C"/>
    <w:rsid w:val="00654C04"/>
    <w:rsid w:val="0065691D"/>
    <w:rsid w:val="00660E1E"/>
    <w:rsid w:val="00662CE6"/>
    <w:rsid w:val="00664A4E"/>
    <w:rsid w:val="006679EC"/>
    <w:rsid w:val="00667FB6"/>
    <w:rsid w:val="0067074E"/>
    <w:rsid w:val="00670A6A"/>
    <w:rsid w:val="00670C9B"/>
    <w:rsid w:val="00670E17"/>
    <w:rsid w:val="006731D1"/>
    <w:rsid w:val="0067336F"/>
    <w:rsid w:val="006749B4"/>
    <w:rsid w:val="00674CDB"/>
    <w:rsid w:val="00675611"/>
    <w:rsid w:val="006757FF"/>
    <w:rsid w:val="00676B85"/>
    <w:rsid w:val="006803CA"/>
    <w:rsid w:val="006804E6"/>
    <w:rsid w:val="00680D92"/>
    <w:rsid w:val="0068152F"/>
    <w:rsid w:val="00681E13"/>
    <w:rsid w:val="00682A97"/>
    <w:rsid w:val="00682CC4"/>
    <w:rsid w:val="00683E0D"/>
    <w:rsid w:val="00683E1D"/>
    <w:rsid w:val="006854C1"/>
    <w:rsid w:val="00690F6B"/>
    <w:rsid w:val="006925D8"/>
    <w:rsid w:val="0069289C"/>
    <w:rsid w:val="006931A6"/>
    <w:rsid w:val="00694B26"/>
    <w:rsid w:val="006951C8"/>
    <w:rsid w:val="00696023"/>
    <w:rsid w:val="00696EEF"/>
    <w:rsid w:val="0069710A"/>
    <w:rsid w:val="006976EE"/>
    <w:rsid w:val="006977C2"/>
    <w:rsid w:val="00697B9C"/>
    <w:rsid w:val="006A081D"/>
    <w:rsid w:val="006A0E5F"/>
    <w:rsid w:val="006A1EF3"/>
    <w:rsid w:val="006A232E"/>
    <w:rsid w:val="006A3BA6"/>
    <w:rsid w:val="006A4DF7"/>
    <w:rsid w:val="006A53ED"/>
    <w:rsid w:val="006B0128"/>
    <w:rsid w:val="006B2203"/>
    <w:rsid w:val="006B3FE0"/>
    <w:rsid w:val="006B40BB"/>
    <w:rsid w:val="006B431C"/>
    <w:rsid w:val="006B45C3"/>
    <w:rsid w:val="006B499C"/>
    <w:rsid w:val="006B5414"/>
    <w:rsid w:val="006B5EA0"/>
    <w:rsid w:val="006B7626"/>
    <w:rsid w:val="006B7699"/>
    <w:rsid w:val="006B7822"/>
    <w:rsid w:val="006C2631"/>
    <w:rsid w:val="006C28D9"/>
    <w:rsid w:val="006C2D40"/>
    <w:rsid w:val="006C3207"/>
    <w:rsid w:val="006C5151"/>
    <w:rsid w:val="006C6210"/>
    <w:rsid w:val="006C73D8"/>
    <w:rsid w:val="006C79DC"/>
    <w:rsid w:val="006D0C30"/>
    <w:rsid w:val="006D47C8"/>
    <w:rsid w:val="006D602C"/>
    <w:rsid w:val="006E012C"/>
    <w:rsid w:val="006E036A"/>
    <w:rsid w:val="006E3486"/>
    <w:rsid w:val="006E421C"/>
    <w:rsid w:val="006E5D52"/>
    <w:rsid w:val="006E6FD4"/>
    <w:rsid w:val="006E76FC"/>
    <w:rsid w:val="006E7950"/>
    <w:rsid w:val="006E7D8B"/>
    <w:rsid w:val="006F1AA9"/>
    <w:rsid w:val="006F412B"/>
    <w:rsid w:val="006F5F9F"/>
    <w:rsid w:val="006F75ED"/>
    <w:rsid w:val="00700F96"/>
    <w:rsid w:val="0070198B"/>
    <w:rsid w:val="0070201E"/>
    <w:rsid w:val="00702065"/>
    <w:rsid w:val="00703C91"/>
    <w:rsid w:val="00704327"/>
    <w:rsid w:val="007060D6"/>
    <w:rsid w:val="007060DE"/>
    <w:rsid w:val="0070655D"/>
    <w:rsid w:val="00707083"/>
    <w:rsid w:val="007070A6"/>
    <w:rsid w:val="0070787A"/>
    <w:rsid w:val="00707ACE"/>
    <w:rsid w:val="00711282"/>
    <w:rsid w:val="007113BD"/>
    <w:rsid w:val="007164F1"/>
    <w:rsid w:val="0071695D"/>
    <w:rsid w:val="00716B14"/>
    <w:rsid w:val="00725504"/>
    <w:rsid w:val="00726172"/>
    <w:rsid w:val="00726E46"/>
    <w:rsid w:val="00727201"/>
    <w:rsid w:val="007273AF"/>
    <w:rsid w:val="00727FC3"/>
    <w:rsid w:val="00731B16"/>
    <w:rsid w:val="0073214C"/>
    <w:rsid w:val="00733610"/>
    <w:rsid w:val="00734C9C"/>
    <w:rsid w:val="00735112"/>
    <w:rsid w:val="0073512F"/>
    <w:rsid w:val="00735732"/>
    <w:rsid w:val="00740913"/>
    <w:rsid w:val="00743603"/>
    <w:rsid w:val="007439F2"/>
    <w:rsid w:val="00743D38"/>
    <w:rsid w:val="00745648"/>
    <w:rsid w:val="007456B5"/>
    <w:rsid w:val="007464D7"/>
    <w:rsid w:val="007476B8"/>
    <w:rsid w:val="00750328"/>
    <w:rsid w:val="00750B5F"/>
    <w:rsid w:val="00751B2B"/>
    <w:rsid w:val="00753673"/>
    <w:rsid w:val="007556EB"/>
    <w:rsid w:val="00755A9C"/>
    <w:rsid w:val="00756BD0"/>
    <w:rsid w:val="00756EDC"/>
    <w:rsid w:val="00757E03"/>
    <w:rsid w:val="00761791"/>
    <w:rsid w:val="00764B2A"/>
    <w:rsid w:val="007653C8"/>
    <w:rsid w:val="007659BA"/>
    <w:rsid w:val="0077015B"/>
    <w:rsid w:val="0077081B"/>
    <w:rsid w:val="00770C57"/>
    <w:rsid w:val="00770C8C"/>
    <w:rsid w:val="00771163"/>
    <w:rsid w:val="00774050"/>
    <w:rsid w:val="007740E4"/>
    <w:rsid w:val="00774534"/>
    <w:rsid w:val="00776875"/>
    <w:rsid w:val="00777E4B"/>
    <w:rsid w:val="00780AF6"/>
    <w:rsid w:val="00781217"/>
    <w:rsid w:val="00781937"/>
    <w:rsid w:val="00784894"/>
    <w:rsid w:val="007871F2"/>
    <w:rsid w:val="00790504"/>
    <w:rsid w:val="00790EDF"/>
    <w:rsid w:val="00790FE4"/>
    <w:rsid w:val="00791BBA"/>
    <w:rsid w:val="00792EF2"/>
    <w:rsid w:val="00794127"/>
    <w:rsid w:val="007945B1"/>
    <w:rsid w:val="0079466C"/>
    <w:rsid w:val="00794D92"/>
    <w:rsid w:val="00795305"/>
    <w:rsid w:val="007A4279"/>
    <w:rsid w:val="007A6BCF"/>
    <w:rsid w:val="007A71AA"/>
    <w:rsid w:val="007B054B"/>
    <w:rsid w:val="007B0FB5"/>
    <w:rsid w:val="007B280F"/>
    <w:rsid w:val="007B4973"/>
    <w:rsid w:val="007B4B1A"/>
    <w:rsid w:val="007B4E93"/>
    <w:rsid w:val="007B5C5B"/>
    <w:rsid w:val="007B5F46"/>
    <w:rsid w:val="007B6650"/>
    <w:rsid w:val="007C0B79"/>
    <w:rsid w:val="007C28B3"/>
    <w:rsid w:val="007C3503"/>
    <w:rsid w:val="007C3CD6"/>
    <w:rsid w:val="007C3DD6"/>
    <w:rsid w:val="007C6E75"/>
    <w:rsid w:val="007D137A"/>
    <w:rsid w:val="007D14E8"/>
    <w:rsid w:val="007D2272"/>
    <w:rsid w:val="007D2747"/>
    <w:rsid w:val="007D4A88"/>
    <w:rsid w:val="007D51AA"/>
    <w:rsid w:val="007D5433"/>
    <w:rsid w:val="007D70C4"/>
    <w:rsid w:val="007E07BB"/>
    <w:rsid w:val="007E09DE"/>
    <w:rsid w:val="007E12F3"/>
    <w:rsid w:val="007E1B50"/>
    <w:rsid w:val="007E230E"/>
    <w:rsid w:val="007E2648"/>
    <w:rsid w:val="007E2913"/>
    <w:rsid w:val="007E2BFF"/>
    <w:rsid w:val="007E30E2"/>
    <w:rsid w:val="007E4176"/>
    <w:rsid w:val="007E4555"/>
    <w:rsid w:val="007E5B08"/>
    <w:rsid w:val="007E6060"/>
    <w:rsid w:val="007E6823"/>
    <w:rsid w:val="007E786E"/>
    <w:rsid w:val="007E7D1E"/>
    <w:rsid w:val="007F01E5"/>
    <w:rsid w:val="007F240D"/>
    <w:rsid w:val="007F2633"/>
    <w:rsid w:val="007F3E7E"/>
    <w:rsid w:val="007F584B"/>
    <w:rsid w:val="007F61A7"/>
    <w:rsid w:val="007F799F"/>
    <w:rsid w:val="0080094E"/>
    <w:rsid w:val="0080240B"/>
    <w:rsid w:val="008028C2"/>
    <w:rsid w:val="00802C93"/>
    <w:rsid w:val="00803F3B"/>
    <w:rsid w:val="008049FE"/>
    <w:rsid w:val="00804D92"/>
    <w:rsid w:val="00804EC7"/>
    <w:rsid w:val="00805AD3"/>
    <w:rsid w:val="008116DB"/>
    <w:rsid w:val="00811C66"/>
    <w:rsid w:val="00811F25"/>
    <w:rsid w:val="00814041"/>
    <w:rsid w:val="008150CA"/>
    <w:rsid w:val="00816CD6"/>
    <w:rsid w:val="008210B7"/>
    <w:rsid w:val="0082244F"/>
    <w:rsid w:val="0082487E"/>
    <w:rsid w:val="00824FF0"/>
    <w:rsid w:val="00826731"/>
    <w:rsid w:val="0082793F"/>
    <w:rsid w:val="00832252"/>
    <w:rsid w:val="0083433E"/>
    <w:rsid w:val="0083621A"/>
    <w:rsid w:val="00837303"/>
    <w:rsid w:val="008375CC"/>
    <w:rsid w:val="00841230"/>
    <w:rsid w:val="0084335C"/>
    <w:rsid w:val="00843831"/>
    <w:rsid w:val="00843893"/>
    <w:rsid w:val="00843DF0"/>
    <w:rsid w:val="00844928"/>
    <w:rsid w:val="00846540"/>
    <w:rsid w:val="008465A0"/>
    <w:rsid w:val="008478E3"/>
    <w:rsid w:val="0085091B"/>
    <w:rsid w:val="0085203A"/>
    <w:rsid w:val="008526E5"/>
    <w:rsid w:val="00853A02"/>
    <w:rsid w:val="00853ACA"/>
    <w:rsid w:val="0085514F"/>
    <w:rsid w:val="00855155"/>
    <w:rsid w:val="00856602"/>
    <w:rsid w:val="00861287"/>
    <w:rsid w:val="008624B0"/>
    <w:rsid w:val="0086255B"/>
    <w:rsid w:val="00862BD6"/>
    <w:rsid w:val="0086321E"/>
    <w:rsid w:val="00863FC3"/>
    <w:rsid w:val="0086415C"/>
    <w:rsid w:val="00865BEA"/>
    <w:rsid w:val="00865CA0"/>
    <w:rsid w:val="00865DD5"/>
    <w:rsid w:val="0086751C"/>
    <w:rsid w:val="00870C80"/>
    <w:rsid w:val="00871BAE"/>
    <w:rsid w:val="00873BCC"/>
    <w:rsid w:val="008771C2"/>
    <w:rsid w:val="00880920"/>
    <w:rsid w:val="0089006B"/>
    <w:rsid w:val="00890A37"/>
    <w:rsid w:val="00890AA4"/>
    <w:rsid w:val="0089162C"/>
    <w:rsid w:val="00892538"/>
    <w:rsid w:val="008931A6"/>
    <w:rsid w:val="00893A15"/>
    <w:rsid w:val="00894BE2"/>
    <w:rsid w:val="0089652B"/>
    <w:rsid w:val="00896BB7"/>
    <w:rsid w:val="00896F20"/>
    <w:rsid w:val="008A0227"/>
    <w:rsid w:val="008A0516"/>
    <w:rsid w:val="008A190A"/>
    <w:rsid w:val="008A2101"/>
    <w:rsid w:val="008A2E81"/>
    <w:rsid w:val="008A33DF"/>
    <w:rsid w:val="008A3B19"/>
    <w:rsid w:val="008A4B2C"/>
    <w:rsid w:val="008A4B57"/>
    <w:rsid w:val="008A5E88"/>
    <w:rsid w:val="008A638D"/>
    <w:rsid w:val="008A6B22"/>
    <w:rsid w:val="008A7342"/>
    <w:rsid w:val="008A7CD8"/>
    <w:rsid w:val="008B0D4F"/>
    <w:rsid w:val="008B1B7D"/>
    <w:rsid w:val="008B21C8"/>
    <w:rsid w:val="008B2E8A"/>
    <w:rsid w:val="008B4B06"/>
    <w:rsid w:val="008B7B94"/>
    <w:rsid w:val="008C0032"/>
    <w:rsid w:val="008C1CE9"/>
    <w:rsid w:val="008C23C2"/>
    <w:rsid w:val="008C290D"/>
    <w:rsid w:val="008C3E12"/>
    <w:rsid w:val="008C517A"/>
    <w:rsid w:val="008C606B"/>
    <w:rsid w:val="008C673F"/>
    <w:rsid w:val="008C69CD"/>
    <w:rsid w:val="008C6BF7"/>
    <w:rsid w:val="008C6ED5"/>
    <w:rsid w:val="008D05E8"/>
    <w:rsid w:val="008D152F"/>
    <w:rsid w:val="008D23D1"/>
    <w:rsid w:val="008D4A68"/>
    <w:rsid w:val="008D574D"/>
    <w:rsid w:val="008E0085"/>
    <w:rsid w:val="008E1B98"/>
    <w:rsid w:val="008E1BDE"/>
    <w:rsid w:val="008E2150"/>
    <w:rsid w:val="008E2C5D"/>
    <w:rsid w:val="008E3EB6"/>
    <w:rsid w:val="008E4D6D"/>
    <w:rsid w:val="008E5A9D"/>
    <w:rsid w:val="008E5E30"/>
    <w:rsid w:val="008E6354"/>
    <w:rsid w:val="008E75B7"/>
    <w:rsid w:val="008E774E"/>
    <w:rsid w:val="008F1104"/>
    <w:rsid w:val="008F1B88"/>
    <w:rsid w:val="008F1CD2"/>
    <w:rsid w:val="008F4CF8"/>
    <w:rsid w:val="008F4E61"/>
    <w:rsid w:val="008F4F84"/>
    <w:rsid w:val="008F56BF"/>
    <w:rsid w:val="008F5CB9"/>
    <w:rsid w:val="008F64C1"/>
    <w:rsid w:val="008F7080"/>
    <w:rsid w:val="0090148C"/>
    <w:rsid w:val="00901580"/>
    <w:rsid w:val="00902E0C"/>
    <w:rsid w:val="00903F61"/>
    <w:rsid w:val="00911A79"/>
    <w:rsid w:val="0091420E"/>
    <w:rsid w:val="00914631"/>
    <w:rsid w:val="00914F0B"/>
    <w:rsid w:val="00916178"/>
    <w:rsid w:val="00917F23"/>
    <w:rsid w:val="00920082"/>
    <w:rsid w:val="00922EA5"/>
    <w:rsid w:val="00925210"/>
    <w:rsid w:val="00926367"/>
    <w:rsid w:val="009306D5"/>
    <w:rsid w:val="00930DC5"/>
    <w:rsid w:val="00930E3E"/>
    <w:rsid w:val="00931E37"/>
    <w:rsid w:val="00933B1D"/>
    <w:rsid w:val="00935DBD"/>
    <w:rsid w:val="00937D99"/>
    <w:rsid w:val="009413B7"/>
    <w:rsid w:val="0094276A"/>
    <w:rsid w:val="0094307D"/>
    <w:rsid w:val="00943161"/>
    <w:rsid w:val="00947CF2"/>
    <w:rsid w:val="00947EF2"/>
    <w:rsid w:val="00953189"/>
    <w:rsid w:val="0095476B"/>
    <w:rsid w:val="00954EA7"/>
    <w:rsid w:val="00956DAF"/>
    <w:rsid w:val="00957405"/>
    <w:rsid w:val="009577F2"/>
    <w:rsid w:val="00957AC6"/>
    <w:rsid w:val="00960355"/>
    <w:rsid w:val="00960586"/>
    <w:rsid w:val="00963418"/>
    <w:rsid w:val="009643DA"/>
    <w:rsid w:val="00964418"/>
    <w:rsid w:val="00964EBD"/>
    <w:rsid w:val="00965FF3"/>
    <w:rsid w:val="0096603D"/>
    <w:rsid w:val="00966C60"/>
    <w:rsid w:val="0097293F"/>
    <w:rsid w:val="00975198"/>
    <w:rsid w:val="009765D5"/>
    <w:rsid w:val="0097767E"/>
    <w:rsid w:val="009776D8"/>
    <w:rsid w:val="009779EE"/>
    <w:rsid w:val="00982816"/>
    <w:rsid w:val="009830B7"/>
    <w:rsid w:val="0098340F"/>
    <w:rsid w:val="00984C4E"/>
    <w:rsid w:val="009868DE"/>
    <w:rsid w:val="00987BBF"/>
    <w:rsid w:val="00990DA9"/>
    <w:rsid w:val="009925B3"/>
    <w:rsid w:val="00994548"/>
    <w:rsid w:val="009946E1"/>
    <w:rsid w:val="0099485C"/>
    <w:rsid w:val="0099532B"/>
    <w:rsid w:val="0099538B"/>
    <w:rsid w:val="009965FE"/>
    <w:rsid w:val="0099681F"/>
    <w:rsid w:val="0099755D"/>
    <w:rsid w:val="009A1560"/>
    <w:rsid w:val="009A3D14"/>
    <w:rsid w:val="009A4BB9"/>
    <w:rsid w:val="009A4ECC"/>
    <w:rsid w:val="009A76BB"/>
    <w:rsid w:val="009B1076"/>
    <w:rsid w:val="009B118B"/>
    <w:rsid w:val="009B1295"/>
    <w:rsid w:val="009B28CC"/>
    <w:rsid w:val="009B2ABA"/>
    <w:rsid w:val="009B32F4"/>
    <w:rsid w:val="009B3C5C"/>
    <w:rsid w:val="009C0EBE"/>
    <w:rsid w:val="009C157B"/>
    <w:rsid w:val="009C3815"/>
    <w:rsid w:val="009C4C1D"/>
    <w:rsid w:val="009C7493"/>
    <w:rsid w:val="009C7A74"/>
    <w:rsid w:val="009D0363"/>
    <w:rsid w:val="009D2CB5"/>
    <w:rsid w:val="009D3BEE"/>
    <w:rsid w:val="009D5A55"/>
    <w:rsid w:val="009D647D"/>
    <w:rsid w:val="009E19D6"/>
    <w:rsid w:val="009E372A"/>
    <w:rsid w:val="009E5670"/>
    <w:rsid w:val="009E7B5C"/>
    <w:rsid w:val="009F029D"/>
    <w:rsid w:val="009F4A8C"/>
    <w:rsid w:val="009F4EA6"/>
    <w:rsid w:val="009F60AC"/>
    <w:rsid w:val="009F70A1"/>
    <w:rsid w:val="009F7C22"/>
    <w:rsid w:val="009F7D35"/>
    <w:rsid w:val="009F7F7A"/>
    <w:rsid w:val="00A01957"/>
    <w:rsid w:val="00A01B27"/>
    <w:rsid w:val="00A03E03"/>
    <w:rsid w:val="00A041FE"/>
    <w:rsid w:val="00A059D9"/>
    <w:rsid w:val="00A11F84"/>
    <w:rsid w:val="00A12217"/>
    <w:rsid w:val="00A127FD"/>
    <w:rsid w:val="00A130DD"/>
    <w:rsid w:val="00A13489"/>
    <w:rsid w:val="00A13890"/>
    <w:rsid w:val="00A13B22"/>
    <w:rsid w:val="00A15F75"/>
    <w:rsid w:val="00A17366"/>
    <w:rsid w:val="00A21283"/>
    <w:rsid w:val="00A2276A"/>
    <w:rsid w:val="00A23221"/>
    <w:rsid w:val="00A23530"/>
    <w:rsid w:val="00A2501E"/>
    <w:rsid w:val="00A25289"/>
    <w:rsid w:val="00A25389"/>
    <w:rsid w:val="00A25B92"/>
    <w:rsid w:val="00A25E1B"/>
    <w:rsid w:val="00A26E76"/>
    <w:rsid w:val="00A30DEC"/>
    <w:rsid w:val="00A3111B"/>
    <w:rsid w:val="00A3161D"/>
    <w:rsid w:val="00A3238B"/>
    <w:rsid w:val="00A32E73"/>
    <w:rsid w:val="00A33BA4"/>
    <w:rsid w:val="00A33D5B"/>
    <w:rsid w:val="00A346BC"/>
    <w:rsid w:val="00A35066"/>
    <w:rsid w:val="00A35BD1"/>
    <w:rsid w:val="00A36152"/>
    <w:rsid w:val="00A40609"/>
    <w:rsid w:val="00A42853"/>
    <w:rsid w:val="00A43EF2"/>
    <w:rsid w:val="00A45A0D"/>
    <w:rsid w:val="00A46C45"/>
    <w:rsid w:val="00A479C2"/>
    <w:rsid w:val="00A50F11"/>
    <w:rsid w:val="00A515E6"/>
    <w:rsid w:val="00A52479"/>
    <w:rsid w:val="00A55DFD"/>
    <w:rsid w:val="00A567FB"/>
    <w:rsid w:val="00A602B5"/>
    <w:rsid w:val="00A60737"/>
    <w:rsid w:val="00A60EBB"/>
    <w:rsid w:val="00A62CBD"/>
    <w:rsid w:val="00A63D18"/>
    <w:rsid w:val="00A643A3"/>
    <w:rsid w:val="00A65649"/>
    <w:rsid w:val="00A65F4E"/>
    <w:rsid w:val="00A667E0"/>
    <w:rsid w:val="00A67F81"/>
    <w:rsid w:val="00A702A7"/>
    <w:rsid w:val="00A70FA1"/>
    <w:rsid w:val="00A719FB"/>
    <w:rsid w:val="00A728E8"/>
    <w:rsid w:val="00A72FC8"/>
    <w:rsid w:val="00A73B13"/>
    <w:rsid w:val="00A77950"/>
    <w:rsid w:val="00A77A2B"/>
    <w:rsid w:val="00A77BCA"/>
    <w:rsid w:val="00A82DA6"/>
    <w:rsid w:val="00A8441E"/>
    <w:rsid w:val="00A905AE"/>
    <w:rsid w:val="00A92124"/>
    <w:rsid w:val="00A95170"/>
    <w:rsid w:val="00A961BC"/>
    <w:rsid w:val="00A96502"/>
    <w:rsid w:val="00A97AFE"/>
    <w:rsid w:val="00AA011C"/>
    <w:rsid w:val="00AA0800"/>
    <w:rsid w:val="00AA115A"/>
    <w:rsid w:val="00AA26FE"/>
    <w:rsid w:val="00AA4D4F"/>
    <w:rsid w:val="00AA5345"/>
    <w:rsid w:val="00AA68BD"/>
    <w:rsid w:val="00AA7DD0"/>
    <w:rsid w:val="00AB0D20"/>
    <w:rsid w:val="00AB2591"/>
    <w:rsid w:val="00AB2899"/>
    <w:rsid w:val="00AB3C8F"/>
    <w:rsid w:val="00AB5105"/>
    <w:rsid w:val="00AB76E8"/>
    <w:rsid w:val="00AC0E0E"/>
    <w:rsid w:val="00AC1D1B"/>
    <w:rsid w:val="00AC2940"/>
    <w:rsid w:val="00AC39A2"/>
    <w:rsid w:val="00AC42F3"/>
    <w:rsid w:val="00AC4FFC"/>
    <w:rsid w:val="00AC5C80"/>
    <w:rsid w:val="00AD02AC"/>
    <w:rsid w:val="00AD157A"/>
    <w:rsid w:val="00AD2025"/>
    <w:rsid w:val="00AD2C62"/>
    <w:rsid w:val="00AD3539"/>
    <w:rsid w:val="00AD42D7"/>
    <w:rsid w:val="00AD4B2B"/>
    <w:rsid w:val="00AD4BBE"/>
    <w:rsid w:val="00AD62F1"/>
    <w:rsid w:val="00AD7905"/>
    <w:rsid w:val="00AE1192"/>
    <w:rsid w:val="00AE2698"/>
    <w:rsid w:val="00AE3DC1"/>
    <w:rsid w:val="00AE4EC1"/>
    <w:rsid w:val="00AE5A87"/>
    <w:rsid w:val="00AE7E0E"/>
    <w:rsid w:val="00AF1A93"/>
    <w:rsid w:val="00AF2385"/>
    <w:rsid w:val="00AF24D7"/>
    <w:rsid w:val="00AF3ECB"/>
    <w:rsid w:val="00AF636F"/>
    <w:rsid w:val="00AF6A1E"/>
    <w:rsid w:val="00AF6E40"/>
    <w:rsid w:val="00AF7A08"/>
    <w:rsid w:val="00B001AF"/>
    <w:rsid w:val="00B02CEC"/>
    <w:rsid w:val="00B039EB"/>
    <w:rsid w:val="00B0443F"/>
    <w:rsid w:val="00B0485A"/>
    <w:rsid w:val="00B04CBD"/>
    <w:rsid w:val="00B06D6E"/>
    <w:rsid w:val="00B1028A"/>
    <w:rsid w:val="00B11A5B"/>
    <w:rsid w:val="00B12721"/>
    <w:rsid w:val="00B143C5"/>
    <w:rsid w:val="00B20836"/>
    <w:rsid w:val="00B219F6"/>
    <w:rsid w:val="00B21C07"/>
    <w:rsid w:val="00B22325"/>
    <w:rsid w:val="00B243F2"/>
    <w:rsid w:val="00B24C94"/>
    <w:rsid w:val="00B2541C"/>
    <w:rsid w:val="00B266BB"/>
    <w:rsid w:val="00B26C4C"/>
    <w:rsid w:val="00B332D3"/>
    <w:rsid w:val="00B35A30"/>
    <w:rsid w:val="00B35BF5"/>
    <w:rsid w:val="00B36A65"/>
    <w:rsid w:val="00B36ABA"/>
    <w:rsid w:val="00B3718B"/>
    <w:rsid w:val="00B4018C"/>
    <w:rsid w:val="00B41B9D"/>
    <w:rsid w:val="00B429C5"/>
    <w:rsid w:val="00B44D40"/>
    <w:rsid w:val="00B45E94"/>
    <w:rsid w:val="00B5036E"/>
    <w:rsid w:val="00B5085C"/>
    <w:rsid w:val="00B52C36"/>
    <w:rsid w:val="00B53B2B"/>
    <w:rsid w:val="00B54E18"/>
    <w:rsid w:val="00B55A17"/>
    <w:rsid w:val="00B55DA8"/>
    <w:rsid w:val="00B55DDD"/>
    <w:rsid w:val="00B56758"/>
    <w:rsid w:val="00B57426"/>
    <w:rsid w:val="00B608E7"/>
    <w:rsid w:val="00B630F1"/>
    <w:rsid w:val="00B6344B"/>
    <w:rsid w:val="00B634F2"/>
    <w:rsid w:val="00B63CA2"/>
    <w:rsid w:val="00B64DB5"/>
    <w:rsid w:val="00B651EE"/>
    <w:rsid w:val="00B65B68"/>
    <w:rsid w:val="00B65EDE"/>
    <w:rsid w:val="00B65FB9"/>
    <w:rsid w:val="00B668CC"/>
    <w:rsid w:val="00B66A59"/>
    <w:rsid w:val="00B66F57"/>
    <w:rsid w:val="00B67678"/>
    <w:rsid w:val="00B72C7F"/>
    <w:rsid w:val="00B73F98"/>
    <w:rsid w:val="00B7471B"/>
    <w:rsid w:val="00B76804"/>
    <w:rsid w:val="00B76A5F"/>
    <w:rsid w:val="00B804A8"/>
    <w:rsid w:val="00B82554"/>
    <w:rsid w:val="00B84816"/>
    <w:rsid w:val="00B85293"/>
    <w:rsid w:val="00B86AE7"/>
    <w:rsid w:val="00B907DB"/>
    <w:rsid w:val="00B90CE3"/>
    <w:rsid w:val="00B91BB6"/>
    <w:rsid w:val="00B92B20"/>
    <w:rsid w:val="00B92E2A"/>
    <w:rsid w:val="00B94C1B"/>
    <w:rsid w:val="00B95524"/>
    <w:rsid w:val="00BA0919"/>
    <w:rsid w:val="00BA1F13"/>
    <w:rsid w:val="00BA533E"/>
    <w:rsid w:val="00BA7769"/>
    <w:rsid w:val="00BB0BF5"/>
    <w:rsid w:val="00BB14BF"/>
    <w:rsid w:val="00BB1B6A"/>
    <w:rsid w:val="00BB2051"/>
    <w:rsid w:val="00BB21CC"/>
    <w:rsid w:val="00BB31B7"/>
    <w:rsid w:val="00BB3D37"/>
    <w:rsid w:val="00BB49A3"/>
    <w:rsid w:val="00BB6196"/>
    <w:rsid w:val="00BB722A"/>
    <w:rsid w:val="00BC164E"/>
    <w:rsid w:val="00BC27A8"/>
    <w:rsid w:val="00BC3292"/>
    <w:rsid w:val="00BC7DD5"/>
    <w:rsid w:val="00BC7FC5"/>
    <w:rsid w:val="00BD0205"/>
    <w:rsid w:val="00BD0788"/>
    <w:rsid w:val="00BD2260"/>
    <w:rsid w:val="00BD2E7D"/>
    <w:rsid w:val="00BD2F95"/>
    <w:rsid w:val="00BD448E"/>
    <w:rsid w:val="00BD4DA9"/>
    <w:rsid w:val="00BD7817"/>
    <w:rsid w:val="00BE1A9B"/>
    <w:rsid w:val="00BE31A5"/>
    <w:rsid w:val="00BE34AE"/>
    <w:rsid w:val="00BE357E"/>
    <w:rsid w:val="00BE4AEF"/>
    <w:rsid w:val="00BE5F9C"/>
    <w:rsid w:val="00BE67D5"/>
    <w:rsid w:val="00BE6BEC"/>
    <w:rsid w:val="00BE6F9C"/>
    <w:rsid w:val="00BF0293"/>
    <w:rsid w:val="00BF08B4"/>
    <w:rsid w:val="00BF1E81"/>
    <w:rsid w:val="00BF2168"/>
    <w:rsid w:val="00BF32AF"/>
    <w:rsid w:val="00BF3F3A"/>
    <w:rsid w:val="00BF4A36"/>
    <w:rsid w:val="00BF515D"/>
    <w:rsid w:val="00BF595B"/>
    <w:rsid w:val="00BF62AA"/>
    <w:rsid w:val="00BF77D5"/>
    <w:rsid w:val="00BF79A8"/>
    <w:rsid w:val="00C01BF5"/>
    <w:rsid w:val="00C03881"/>
    <w:rsid w:val="00C0463C"/>
    <w:rsid w:val="00C04BF9"/>
    <w:rsid w:val="00C0522E"/>
    <w:rsid w:val="00C057CA"/>
    <w:rsid w:val="00C100CE"/>
    <w:rsid w:val="00C13264"/>
    <w:rsid w:val="00C176A4"/>
    <w:rsid w:val="00C177BD"/>
    <w:rsid w:val="00C17B57"/>
    <w:rsid w:val="00C20834"/>
    <w:rsid w:val="00C20C30"/>
    <w:rsid w:val="00C213E0"/>
    <w:rsid w:val="00C21C6B"/>
    <w:rsid w:val="00C229DA"/>
    <w:rsid w:val="00C23EC6"/>
    <w:rsid w:val="00C24405"/>
    <w:rsid w:val="00C24533"/>
    <w:rsid w:val="00C250EE"/>
    <w:rsid w:val="00C2772F"/>
    <w:rsid w:val="00C2794C"/>
    <w:rsid w:val="00C30F2E"/>
    <w:rsid w:val="00C3110A"/>
    <w:rsid w:val="00C31A52"/>
    <w:rsid w:val="00C33D71"/>
    <w:rsid w:val="00C33FD8"/>
    <w:rsid w:val="00C35266"/>
    <w:rsid w:val="00C35621"/>
    <w:rsid w:val="00C3686A"/>
    <w:rsid w:val="00C4058C"/>
    <w:rsid w:val="00C40909"/>
    <w:rsid w:val="00C426DD"/>
    <w:rsid w:val="00C42A8C"/>
    <w:rsid w:val="00C42F8D"/>
    <w:rsid w:val="00C4499C"/>
    <w:rsid w:val="00C45468"/>
    <w:rsid w:val="00C46B30"/>
    <w:rsid w:val="00C5018C"/>
    <w:rsid w:val="00C505FA"/>
    <w:rsid w:val="00C51BD6"/>
    <w:rsid w:val="00C54AD0"/>
    <w:rsid w:val="00C60873"/>
    <w:rsid w:val="00C619C1"/>
    <w:rsid w:val="00C61BCC"/>
    <w:rsid w:val="00C63A87"/>
    <w:rsid w:val="00C64753"/>
    <w:rsid w:val="00C66D40"/>
    <w:rsid w:val="00C6739E"/>
    <w:rsid w:val="00C6761F"/>
    <w:rsid w:val="00C70BDE"/>
    <w:rsid w:val="00C71175"/>
    <w:rsid w:val="00C711C4"/>
    <w:rsid w:val="00C74DE8"/>
    <w:rsid w:val="00C75D97"/>
    <w:rsid w:val="00C75F60"/>
    <w:rsid w:val="00C761F3"/>
    <w:rsid w:val="00C77008"/>
    <w:rsid w:val="00C77B9D"/>
    <w:rsid w:val="00C810A9"/>
    <w:rsid w:val="00C820C5"/>
    <w:rsid w:val="00C822B9"/>
    <w:rsid w:val="00C82D35"/>
    <w:rsid w:val="00C837CB"/>
    <w:rsid w:val="00C8635D"/>
    <w:rsid w:val="00C86DEA"/>
    <w:rsid w:val="00C87534"/>
    <w:rsid w:val="00C87A8F"/>
    <w:rsid w:val="00C90972"/>
    <w:rsid w:val="00C94E05"/>
    <w:rsid w:val="00C94E90"/>
    <w:rsid w:val="00C96218"/>
    <w:rsid w:val="00C9779B"/>
    <w:rsid w:val="00C97B48"/>
    <w:rsid w:val="00CA0381"/>
    <w:rsid w:val="00CA0FBA"/>
    <w:rsid w:val="00CA2F22"/>
    <w:rsid w:val="00CA4656"/>
    <w:rsid w:val="00CA592D"/>
    <w:rsid w:val="00CA59AB"/>
    <w:rsid w:val="00CA6907"/>
    <w:rsid w:val="00CA7172"/>
    <w:rsid w:val="00CA732F"/>
    <w:rsid w:val="00CB0672"/>
    <w:rsid w:val="00CB0C2F"/>
    <w:rsid w:val="00CB1C69"/>
    <w:rsid w:val="00CB1FC0"/>
    <w:rsid w:val="00CB2B5C"/>
    <w:rsid w:val="00CB2BF5"/>
    <w:rsid w:val="00CB38C6"/>
    <w:rsid w:val="00CB5D27"/>
    <w:rsid w:val="00CB600E"/>
    <w:rsid w:val="00CC0437"/>
    <w:rsid w:val="00CC0B3B"/>
    <w:rsid w:val="00CC491F"/>
    <w:rsid w:val="00CC57B6"/>
    <w:rsid w:val="00CC6252"/>
    <w:rsid w:val="00CC6C36"/>
    <w:rsid w:val="00CC7157"/>
    <w:rsid w:val="00CD179C"/>
    <w:rsid w:val="00CD1979"/>
    <w:rsid w:val="00CD1DED"/>
    <w:rsid w:val="00CD23F6"/>
    <w:rsid w:val="00CD3F73"/>
    <w:rsid w:val="00CD4F78"/>
    <w:rsid w:val="00CD56B2"/>
    <w:rsid w:val="00CD5A42"/>
    <w:rsid w:val="00CD5B9E"/>
    <w:rsid w:val="00CD5D35"/>
    <w:rsid w:val="00CD6303"/>
    <w:rsid w:val="00CD64E0"/>
    <w:rsid w:val="00CD6E80"/>
    <w:rsid w:val="00CE348D"/>
    <w:rsid w:val="00CE36C7"/>
    <w:rsid w:val="00CE473F"/>
    <w:rsid w:val="00CE56F0"/>
    <w:rsid w:val="00CE6BC8"/>
    <w:rsid w:val="00CE6E9A"/>
    <w:rsid w:val="00CE735F"/>
    <w:rsid w:val="00CE7B82"/>
    <w:rsid w:val="00CF1B6A"/>
    <w:rsid w:val="00CF2BF5"/>
    <w:rsid w:val="00CF5E24"/>
    <w:rsid w:val="00CF6120"/>
    <w:rsid w:val="00CF7196"/>
    <w:rsid w:val="00CF78CA"/>
    <w:rsid w:val="00D00164"/>
    <w:rsid w:val="00D02D78"/>
    <w:rsid w:val="00D054E8"/>
    <w:rsid w:val="00D05C16"/>
    <w:rsid w:val="00D05F96"/>
    <w:rsid w:val="00D10B54"/>
    <w:rsid w:val="00D1127B"/>
    <w:rsid w:val="00D11B61"/>
    <w:rsid w:val="00D11C7D"/>
    <w:rsid w:val="00D12065"/>
    <w:rsid w:val="00D12722"/>
    <w:rsid w:val="00D127E4"/>
    <w:rsid w:val="00D12BD2"/>
    <w:rsid w:val="00D13518"/>
    <w:rsid w:val="00D13E7C"/>
    <w:rsid w:val="00D14121"/>
    <w:rsid w:val="00D14E3D"/>
    <w:rsid w:val="00D15D06"/>
    <w:rsid w:val="00D16A38"/>
    <w:rsid w:val="00D176E1"/>
    <w:rsid w:val="00D21166"/>
    <w:rsid w:val="00D22005"/>
    <w:rsid w:val="00D22575"/>
    <w:rsid w:val="00D22A8A"/>
    <w:rsid w:val="00D23195"/>
    <w:rsid w:val="00D23F50"/>
    <w:rsid w:val="00D2403E"/>
    <w:rsid w:val="00D247E2"/>
    <w:rsid w:val="00D25752"/>
    <w:rsid w:val="00D258A4"/>
    <w:rsid w:val="00D2705A"/>
    <w:rsid w:val="00D27519"/>
    <w:rsid w:val="00D30CA4"/>
    <w:rsid w:val="00D3105E"/>
    <w:rsid w:val="00D312B4"/>
    <w:rsid w:val="00D3286E"/>
    <w:rsid w:val="00D34C4A"/>
    <w:rsid w:val="00D35C92"/>
    <w:rsid w:val="00D43F35"/>
    <w:rsid w:val="00D45A2C"/>
    <w:rsid w:val="00D45E17"/>
    <w:rsid w:val="00D46697"/>
    <w:rsid w:val="00D47A45"/>
    <w:rsid w:val="00D50114"/>
    <w:rsid w:val="00D519E0"/>
    <w:rsid w:val="00D52061"/>
    <w:rsid w:val="00D53E85"/>
    <w:rsid w:val="00D54F2C"/>
    <w:rsid w:val="00D54FA8"/>
    <w:rsid w:val="00D55930"/>
    <w:rsid w:val="00D55DA9"/>
    <w:rsid w:val="00D57468"/>
    <w:rsid w:val="00D5776E"/>
    <w:rsid w:val="00D57DDE"/>
    <w:rsid w:val="00D615BB"/>
    <w:rsid w:val="00D62071"/>
    <w:rsid w:val="00D624B2"/>
    <w:rsid w:val="00D63D1D"/>
    <w:rsid w:val="00D673E6"/>
    <w:rsid w:val="00D678C2"/>
    <w:rsid w:val="00D70376"/>
    <w:rsid w:val="00D71E6B"/>
    <w:rsid w:val="00D71F9E"/>
    <w:rsid w:val="00D72C3A"/>
    <w:rsid w:val="00D73FDA"/>
    <w:rsid w:val="00D75C8C"/>
    <w:rsid w:val="00D823EF"/>
    <w:rsid w:val="00D82DC5"/>
    <w:rsid w:val="00D83DE4"/>
    <w:rsid w:val="00D85D8F"/>
    <w:rsid w:val="00D86389"/>
    <w:rsid w:val="00D8653D"/>
    <w:rsid w:val="00D87D13"/>
    <w:rsid w:val="00D9011E"/>
    <w:rsid w:val="00D90EA0"/>
    <w:rsid w:val="00D935CE"/>
    <w:rsid w:val="00D978D3"/>
    <w:rsid w:val="00DA0EB2"/>
    <w:rsid w:val="00DA2113"/>
    <w:rsid w:val="00DA2CE4"/>
    <w:rsid w:val="00DA4587"/>
    <w:rsid w:val="00DA582A"/>
    <w:rsid w:val="00DA5CE7"/>
    <w:rsid w:val="00DB0943"/>
    <w:rsid w:val="00DB0F95"/>
    <w:rsid w:val="00DB2E48"/>
    <w:rsid w:val="00DB2E5B"/>
    <w:rsid w:val="00DB2F5D"/>
    <w:rsid w:val="00DB3C54"/>
    <w:rsid w:val="00DB3D50"/>
    <w:rsid w:val="00DB3E05"/>
    <w:rsid w:val="00DB4833"/>
    <w:rsid w:val="00DB4EFB"/>
    <w:rsid w:val="00DB4F04"/>
    <w:rsid w:val="00DB4FDA"/>
    <w:rsid w:val="00DB5283"/>
    <w:rsid w:val="00DB540D"/>
    <w:rsid w:val="00DB7E1E"/>
    <w:rsid w:val="00DC19AC"/>
    <w:rsid w:val="00DC3034"/>
    <w:rsid w:val="00DC384B"/>
    <w:rsid w:val="00DC573A"/>
    <w:rsid w:val="00DC5EF0"/>
    <w:rsid w:val="00DC6F52"/>
    <w:rsid w:val="00DD02DE"/>
    <w:rsid w:val="00DD2FF6"/>
    <w:rsid w:val="00DD426C"/>
    <w:rsid w:val="00DD4348"/>
    <w:rsid w:val="00DD4455"/>
    <w:rsid w:val="00DD4CB2"/>
    <w:rsid w:val="00DD6922"/>
    <w:rsid w:val="00DD7C0D"/>
    <w:rsid w:val="00DE031F"/>
    <w:rsid w:val="00DE0CE2"/>
    <w:rsid w:val="00DE45F0"/>
    <w:rsid w:val="00DE54C0"/>
    <w:rsid w:val="00DE6060"/>
    <w:rsid w:val="00DE69BB"/>
    <w:rsid w:val="00DF2629"/>
    <w:rsid w:val="00DF3A34"/>
    <w:rsid w:val="00DF421D"/>
    <w:rsid w:val="00DF459C"/>
    <w:rsid w:val="00DF4DCE"/>
    <w:rsid w:val="00DF555C"/>
    <w:rsid w:val="00DF55C3"/>
    <w:rsid w:val="00DF696F"/>
    <w:rsid w:val="00DF722E"/>
    <w:rsid w:val="00E0076E"/>
    <w:rsid w:val="00E018C3"/>
    <w:rsid w:val="00E01C28"/>
    <w:rsid w:val="00E01E77"/>
    <w:rsid w:val="00E02398"/>
    <w:rsid w:val="00E02473"/>
    <w:rsid w:val="00E03A80"/>
    <w:rsid w:val="00E05545"/>
    <w:rsid w:val="00E0678C"/>
    <w:rsid w:val="00E07BAB"/>
    <w:rsid w:val="00E07F9C"/>
    <w:rsid w:val="00E13B64"/>
    <w:rsid w:val="00E15415"/>
    <w:rsid w:val="00E16431"/>
    <w:rsid w:val="00E1670A"/>
    <w:rsid w:val="00E16FD3"/>
    <w:rsid w:val="00E174F1"/>
    <w:rsid w:val="00E20103"/>
    <w:rsid w:val="00E2056C"/>
    <w:rsid w:val="00E20F81"/>
    <w:rsid w:val="00E215F4"/>
    <w:rsid w:val="00E239CA"/>
    <w:rsid w:val="00E27662"/>
    <w:rsid w:val="00E27CAA"/>
    <w:rsid w:val="00E301EE"/>
    <w:rsid w:val="00E30AC1"/>
    <w:rsid w:val="00E30FD7"/>
    <w:rsid w:val="00E311DE"/>
    <w:rsid w:val="00E32427"/>
    <w:rsid w:val="00E32595"/>
    <w:rsid w:val="00E32D6A"/>
    <w:rsid w:val="00E33FD9"/>
    <w:rsid w:val="00E34E59"/>
    <w:rsid w:val="00E36943"/>
    <w:rsid w:val="00E37A7C"/>
    <w:rsid w:val="00E404EC"/>
    <w:rsid w:val="00E41E2F"/>
    <w:rsid w:val="00E42186"/>
    <w:rsid w:val="00E430DC"/>
    <w:rsid w:val="00E43AD2"/>
    <w:rsid w:val="00E44363"/>
    <w:rsid w:val="00E447AD"/>
    <w:rsid w:val="00E47847"/>
    <w:rsid w:val="00E502C4"/>
    <w:rsid w:val="00E528D7"/>
    <w:rsid w:val="00E5545F"/>
    <w:rsid w:val="00E56732"/>
    <w:rsid w:val="00E572D0"/>
    <w:rsid w:val="00E5764A"/>
    <w:rsid w:val="00E611C8"/>
    <w:rsid w:val="00E615A7"/>
    <w:rsid w:val="00E6318F"/>
    <w:rsid w:val="00E63D44"/>
    <w:rsid w:val="00E63DD3"/>
    <w:rsid w:val="00E6454D"/>
    <w:rsid w:val="00E64562"/>
    <w:rsid w:val="00E64928"/>
    <w:rsid w:val="00E66353"/>
    <w:rsid w:val="00E67ECF"/>
    <w:rsid w:val="00E7074E"/>
    <w:rsid w:val="00E7108C"/>
    <w:rsid w:val="00E720E8"/>
    <w:rsid w:val="00E72EC5"/>
    <w:rsid w:val="00E74C45"/>
    <w:rsid w:val="00E75E3F"/>
    <w:rsid w:val="00E86727"/>
    <w:rsid w:val="00E86728"/>
    <w:rsid w:val="00E86836"/>
    <w:rsid w:val="00E86911"/>
    <w:rsid w:val="00E92380"/>
    <w:rsid w:val="00E946AB"/>
    <w:rsid w:val="00E95F4B"/>
    <w:rsid w:val="00E96F72"/>
    <w:rsid w:val="00E978BB"/>
    <w:rsid w:val="00EA00C3"/>
    <w:rsid w:val="00EA0C85"/>
    <w:rsid w:val="00EA1706"/>
    <w:rsid w:val="00EA324B"/>
    <w:rsid w:val="00EA33A5"/>
    <w:rsid w:val="00EA4AA5"/>
    <w:rsid w:val="00EB0AD9"/>
    <w:rsid w:val="00EB1FC3"/>
    <w:rsid w:val="00EB3E41"/>
    <w:rsid w:val="00EB3FBD"/>
    <w:rsid w:val="00EB4185"/>
    <w:rsid w:val="00EB5A98"/>
    <w:rsid w:val="00EB613E"/>
    <w:rsid w:val="00EB6460"/>
    <w:rsid w:val="00EC0F3B"/>
    <w:rsid w:val="00EC0F52"/>
    <w:rsid w:val="00EC1212"/>
    <w:rsid w:val="00EC20ED"/>
    <w:rsid w:val="00EC66AF"/>
    <w:rsid w:val="00EC769A"/>
    <w:rsid w:val="00EC7F9A"/>
    <w:rsid w:val="00ED0C36"/>
    <w:rsid w:val="00ED130E"/>
    <w:rsid w:val="00ED4402"/>
    <w:rsid w:val="00ED4F86"/>
    <w:rsid w:val="00ED751A"/>
    <w:rsid w:val="00ED7F4C"/>
    <w:rsid w:val="00EE18DF"/>
    <w:rsid w:val="00EE1A05"/>
    <w:rsid w:val="00EE1AFD"/>
    <w:rsid w:val="00EE5E33"/>
    <w:rsid w:val="00EF0BB7"/>
    <w:rsid w:val="00EF2A3C"/>
    <w:rsid w:val="00EF4080"/>
    <w:rsid w:val="00EF4614"/>
    <w:rsid w:val="00EF5AA2"/>
    <w:rsid w:val="00EF5C3E"/>
    <w:rsid w:val="00EF7601"/>
    <w:rsid w:val="00EF7D28"/>
    <w:rsid w:val="00F02225"/>
    <w:rsid w:val="00F023A8"/>
    <w:rsid w:val="00F03EEC"/>
    <w:rsid w:val="00F04B30"/>
    <w:rsid w:val="00F108A8"/>
    <w:rsid w:val="00F1157E"/>
    <w:rsid w:val="00F14F31"/>
    <w:rsid w:val="00F152DE"/>
    <w:rsid w:val="00F158D3"/>
    <w:rsid w:val="00F15D69"/>
    <w:rsid w:val="00F16E25"/>
    <w:rsid w:val="00F1787C"/>
    <w:rsid w:val="00F274D5"/>
    <w:rsid w:val="00F27FDE"/>
    <w:rsid w:val="00F31FC1"/>
    <w:rsid w:val="00F32548"/>
    <w:rsid w:val="00F32D00"/>
    <w:rsid w:val="00F34E48"/>
    <w:rsid w:val="00F350D7"/>
    <w:rsid w:val="00F3621A"/>
    <w:rsid w:val="00F36D28"/>
    <w:rsid w:val="00F37CFB"/>
    <w:rsid w:val="00F404AA"/>
    <w:rsid w:val="00F41771"/>
    <w:rsid w:val="00F42B6A"/>
    <w:rsid w:val="00F42BB6"/>
    <w:rsid w:val="00F437ED"/>
    <w:rsid w:val="00F43963"/>
    <w:rsid w:val="00F439C2"/>
    <w:rsid w:val="00F43ACA"/>
    <w:rsid w:val="00F44219"/>
    <w:rsid w:val="00F4455F"/>
    <w:rsid w:val="00F452D2"/>
    <w:rsid w:val="00F46116"/>
    <w:rsid w:val="00F51650"/>
    <w:rsid w:val="00F51B98"/>
    <w:rsid w:val="00F51BE2"/>
    <w:rsid w:val="00F5298B"/>
    <w:rsid w:val="00F532F4"/>
    <w:rsid w:val="00F549E1"/>
    <w:rsid w:val="00F54FA4"/>
    <w:rsid w:val="00F56341"/>
    <w:rsid w:val="00F5674D"/>
    <w:rsid w:val="00F56991"/>
    <w:rsid w:val="00F56D84"/>
    <w:rsid w:val="00F56ED8"/>
    <w:rsid w:val="00F5713E"/>
    <w:rsid w:val="00F57406"/>
    <w:rsid w:val="00F57946"/>
    <w:rsid w:val="00F57DD3"/>
    <w:rsid w:val="00F61133"/>
    <w:rsid w:val="00F6121F"/>
    <w:rsid w:val="00F6127D"/>
    <w:rsid w:val="00F62B0C"/>
    <w:rsid w:val="00F63938"/>
    <w:rsid w:val="00F65F36"/>
    <w:rsid w:val="00F662B3"/>
    <w:rsid w:val="00F66568"/>
    <w:rsid w:val="00F67A55"/>
    <w:rsid w:val="00F67F59"/>
    <w:rsid w:val="00F7145E"/>
    <w:rsid w:val="00F727B4"/>
    <w:rsid w:val="00F7284C"/>
    <w:rsid w:val="00F73375"/>
    <w:rsid w:val="00F74956"/>
    <w:rsid w:val="00F7554A"/>
    <w:rsid w:val="00F7685E"/>
    <w:rsid w:val="00F80AB6"/>
    <w:rsid w:val="00F80ED8"/>
    <w:rsid w:val="00F8119F"/>
    <w:rsid w:val="00F811A4"/>
    <w:rsid w:val="00F8191A"/>
    <w:rsid w:val="00F82679"/>
    <w:rsid w:val="00F829FD"/>
    <w:rsid w:val="00F82DFE"/>
    <w:rsid w:val="00F84C1F"/>
    <w:rsid w:val="00F85290"/>
    <w:rsid w:val="00F860B8"/>
    <w:rsid w:val="00F871AE"/>
    <w:rsid w:val="00F91D6B"/>
    <w:rsid w:val="00F92638"/>
    <w:rsid w:val="00F92A61"/>
    <w:rsid w:val="00F95117"/>
    <w:rsid w:val="00F963F1"/>
    <w:rsid w:val="00F96972"/>
    <w:rsid w:val="00FA0413"/>
    <w:rsid w:val="00FA080D"/>
    <w:rsid w:val="00FA0DFF"/>
    <w:rsid w:val="00FA6B73"/>
    <w:rsid w:val="00FB0868"/>
    <w:rsid w:val="00FB096F"/>
    <w:rsid w:val="00FB25BA"/>
    <w:rsid w:val="00FB31A6"/>
    <w:rsid w:val="00FB5949"/>
    <w:rsid w:val="00FB5B47"/>
    <w:rsid w:val="00FB66E4"/>
    <w:rsid w:val="00FB73E0"/>
    <w:rsid w:val="00FC02DA"/>
    <w:rsid w:val="00FC0635"/>
    <w:rsid w:val="00FC0BEE"/>
    <w:rsid w:val="00FC23A2"/>
    <w:rsid w:val="00FC2EF8"/>
    <w:rsid w:val="00FC4600"/>
    <w:rsid w:val="00FC7F28"/>
    <w:rsid w:val="00FC7F72"/>
    <w:rsid w:val="00FD112C"/>
    <w:rsid w:val="00FD29D2"/>
    <w:rsid w:val="00FD6037"/>
    <w:rsid w:val="00FD626B"/>
    <w:rsid w:val="00FD65B7"/>
    <w:rsid w:val="00FD6C90"/>
    <w:rsid w:val="00FD73D0"/>
    <w:rsid w:val="00FD73ED"/>
    <w:rsid w:val="00FE122E"/>
    <w:rsid w:val="00FE19C8"/>
    <w:rsid w:val="00FE2644"/>
    <w:rsid w:val="00FE2A8C"/>
    <w:rsid w:val="00FE3086"/>
    <w:rsid w:val="00FE3E7F"/>
    <w:rsid w:val="00FE53A6"/>
    <w:rsid w:val="00FE7438"/>
    <w:rsid w:val="00FE762F"/>
    <w:rsid w:val="00FE7E4F"/>
    <w:rsid w:val="00FF05BF"/>
    <w:rsid w:val="00FF0E01"/>
    <w:rsid w:val="00FF14F4"/>
    <w:rsid w:val="00FF3361"/>
    <w:rsid w:val="00FF5B16"/>
    <w:rsid w:val="00FF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E76"/>
    <w:rPr>
      <w:sz w:val="20"/>
    </w:rPr>
  </w:style>
  <w:style w:type="paragraph" w:styleId="Titre1">
    <w:name w:val="heading 1"/>
    <w:basedOn w:val="Normal"/>
    <w:next w:val="Normal"/>
    <w:link w:val="Titre1Car"/>
    <w:uiPriority w:val="9"/>
    <w:qFormat/>
    <w:rsid w:val="00B86AE7"/>
    <w:pPr>
      <w:keepNext/>
      <w:keepLines/>
      <w:spacing w:before="480" w:after="0"/>
      <w:outlineLvl w:val="0"/>
    </w:pPr>
    <w:rPr>
      <w:rFonts w:eastAsiaTheme="majorEastAsia" w:cstheme="majorBidi"/>
      <w:b/>
      <w:bCs/>
      <w:sz w:val="24"/>
      <w:szCs w:val="28"/>
    </w:rPr>
  </w:style>
  <w:style w:type="paragraph" w:styleId="Titre2">
    <w:name w:val="heading 2"/>
    <w:basedOn w:val="Normal"/>
    <w:next w:val="Normal"/>
    <w:link w:val="Titre2Car"/>
    <w:uiPriority w:val="9"/>
    <w:unhideWhenUsed/>
    <w:qFormat/>
    <w:rsid w:val="00902E0C"/>
    <w:pPr>
      <w:keepNext/>
      <w:keepLines/>
      <w:spacing w:before="200" w:after="0"/>
      <w:outlineLvl w:val="1"/>
    </w:pPr>
    <w:rPr>
      <w:rFonts w:asciiTheme="majorHAnsi" w:eastAsiaTheme="majorEastAsia" w:hAnsiTheme="majorHAnsi" w:cstheme="majorBidi"/>
      <w:b/>
      <w:bCs/>
      <w:color w:val="4F81BD" w:themeColor="accent1"/>
      <w:sz w:val="22"/>
      <w:szCs w:val="26"/>
    </w:rPr>
  </w:style>
  <w:style w:type="paragraph" w:styleId="Titre3">
    <w:name w:val="heading 3"/>
    <w:basedOn w:val="Normal"/>
    <w:next w:val="Normal"/>
    <w:link w:val="Titre3Car"/>
    <w:uiPriority w:val="9"/>
    <w:unhideWhenUsed/>
    <w:qFormat/>
    <w:rsid w:val="007D137A"/>
    <w:pPr>
      <w:keepNext/>
      <w:keepLines/>
      <w:spacing w:before="200" w:after="0"/>
      <w:ind w:left="426"/>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qFormat/>
    <w:rsid w:val="00EE1A05"/>
    <w:pPr>
      <w:keepNext/>
      <w:widowControl w:val="0"/>
      <w:numPr>
        <w:ilvl w:val="3"/>
        <w:numId w:val="9"/>
      </w:numPr>
      <w:spacing w:after="0" w:line="360" w:lineRule="auto"/>
      <w:jc w:val="both"/>
      <w:outlineLvl w:val="3"/>
    </w:pPr>
    <w:rPr>
      <w:rFonts w:eastAsia="Times New Roman" w:cs="Times New Roman"/>
      <w:b/>
      <w:bCs/>
      <w:spacing w:val="-10"/>
      <w:sz w:val="30"/>
      <w:szCs w:val="30"/>
    </w:rPr>
  </w:style>
  <w:style w:type="paragraph" w:styleId="Titre5">
    <w:name w:val="heading 5"/>
    <w:basedOn w:val="Normal"/>
    <w:next w:val="Normal"/>
    <w:link w:val="Titre5Car"/>
    <w:uiPriority w:val="9"/>
    <w:qFormat/>
    <w:rsid w:val="00EE1A05"/>
    <w:pPr>
      <w:widowControl w:val="0"/>
      <w:numPr>
        <w:ilvl w:val="4"/>
        <w:numId w:val="9"/>
      </w:numPr>
      <w:spacing w:after="0" w:line="360" w:lineRule="auto"/>
      <w:jc w:val="both"/>
      <w:outlineLvl w:val="4"/>
    </w:pPr>
    <w:rPr>
      <w:rFonts w:eastAsia="Times New Roman" w:cs="Times New Roman"/>
      <w:b/>
      <w:bCs/>
      <w:spacing w:val="-10"/>
      <w:sz w:val="28"/>
      <w:szCs w:val="28"/>
    </w:rPr>
  </w:style>
  <w:style w:type="paragraph" w:styleId="Titre6">
    <w:name w:val="heading 6"/>
    <w:basedOn w:val="Normal"/>
    <w:next w:val="Normal"/>
    <w:link w:val="Titre6Car"/>
    <w:uiPriority w:val="9"/>
    <w:qFormat/>
    <w:rsid w:val="00EE1A05"/>
    <w:pPr>
      <w:widowControl w:val="0"/>
      <w:numPr>
        <w:ilvl w:val="5"/>
        <w:numId w:val="9"/>
      </w:numPr>
      <w:spacing w:after="0" w:line="360" w:lineRule="auto"/>
      <w:jc w:val="both"/>
      <w:outlineLvl w:val="5"/>
    </w:pPr>
    <w:rPr>
      <w:rFonts w:eastAsia="Times New Roman" w:cs="Times New Roman"/>
      <w:b/>
      <w:bCs/>
      <w:spacing w:val="-10"/>
      <w:sz w:val="26"/>
      <w:szCs w:val="26"/>
    </w:rPr>
  </w:style>
  <w:style w:type="paragraph" w:styleId="Titre7">
    <w:name w:val="heading 7"/>
    <w:basedOn w:val="Normal"/>
    <w:next w:val="Normal"/>
    <w:link w:val="Titre7Car"/>
    <w:qFormat/>
    <w:rsid w:val="00EE1A05"/>
    <w:pPr>
      <w:widowControl w:val="0"/>
      <w:numPr>
        <w:ilvl w:val="6"/>
        <w:numId w:val="9"/>
      </w:numPr>
      <w:spacing w:before="240" w:after="60" w:line="360" w:lineRule="auto"/>
      <w:jc w:val="both"/>
      <w:outlineLvl w:val="6"/>
    </w:pPr>
    <w:rPr>
      <w:rFonts w:eastAsia="Times New Roman" w:cs="Times New Roman"/>
      <w:b/>
      <w:bCs/>
      <w:sz w:val="24"/>
      <w:szCs w:val="24"/>
      <w:u w:val="single"/>
    </w:rPr>
  </w:style>
  <w:style w:type="paragraph" w:styleId="Titre8">
    <w:name w:val="heading 8"/>
    <w:basedOn w:val="Normal"/>
    <w:next w:val="Normal"/>
    <w:link w:val="Titre8Car"/>
    <w:qFormat/>
    <w:rsid w:val="00EE1A05"/>
    <w:pPr>
      <w:widowControl w:val="0"/>
      <w:numPr>
        <w:ilvl w:val="7"/>
        <w:numId w:val="9"/>
      </w:numPr>
      <w:spacing w:before="240" w:after="60" w:line="360" w:lineRule="auto"/>
      <w:jc w:val="both"/>
      <w:outlineLvl w:val="7"/>
    </w:pPr>
    <w:rPr>
      <w:rFonts w:ascii="Arial" w:eastAsia="Times New Roman" w:hAnsi="Arial" w:cs="Arial"/>
      <w:i/>
      <w:iCs/>
      <w:szCs w:val="20"/>
    </w:rPr>
  </w:style>
  <w:style w:type="paragraph" w:styleId="Titre9">
    <w:name w:val="heading 9"/>
    <w:basedOn w:val="Normal"/>
    <w:next w:val="Normal"/>
    <w:link w:val="Titre9Car"/>
    <w:qFormat/>
    <w:rsid w:val="00EE1A05"/>
    <w:pPr>
      <w:widowControl w:val="0"/>
      <w:numPr>
        <w:ilvl w:val="8"/>
        <w:numId w:val="9"/>
      </w:numPr>
      <w:spacing w:before="240" w:after="60" w:line="360" w:lineRule="auto"/>
      <w:jc w:val="both"/>
      <w:outlineLvl w:val="8"/>
    </w:pPr>
    <w:rPr>
      <w:rFonts w:ascii="Arial" w:eastAsia="Times New Roman"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hesis-PhD">
    <w:name w:val="Thesis-PhD"/>
    <w:uiPriority w:val="99"/>
    <w:rsid w:val="005F03AA"/>
    <w:pPr>
      <w:numPr>
        <w:numId w:val="1"/>
      </w:numPr>
    </w:pPr>
  </w:style>
  <w:style w:type="paragraph" w:styleId="Tabledesillustrations">
    <w:name w:val="table of figures"/>
    <w:basedOn w:val="Normal"/>
    <w:next w:val="Normal"/>
    <w:uiPriority w:val="99"/>
    <w:unhideWhenUsed/>
    <w:rsid w:val="002D0AB1"/>
    <w:pPr>
      <w:tabs>
        <w:tab w:val="right" w:leader="dot" w:pos="9060"/>
      </w:tabs>
      <w:spacing w:after="0" w:line="480" w:lineRule="auto"/>
      <w:ind w:left="440" w:hanging="440"/>
    </w:pPr>
    <w:rPr>
      <w:rFonts w:eastAsia="Calibri" w:cstheme="minorHAnsi"/>
      <w:noProof/>
      <w:lang w:val="en-GB"/>
    </w:rPr>
  </w:style>
  <w:style w:type="paragraph" w:styleId="TM2">
    <w:name w:val="toc 2"/>
    <w:basedOn w:val="Normal"/>
    <w:next w:val="Normal"/>
    <w:autoRedefine/>
    <w:uiPriority w:val="39"/>
    <w:unhideWhenUsed/>
    <w:qFormat/>
    <w:rsid w:val="002D0AB1"/>
    <w:pPr>
      <w:tabs>
        <w:tab w:val="left" w:pos="880"/>
        <w:tab w:val="right" w:leader="dot" w:pos="9060"/>
      </w:tabs>
      <w:spacing w:after="0"/>
      <w:ind w:left="220"/>
    </w:pPr>
    <w:rPr>
      <w:rFonts w:eastAsia="Calibri" w:cstheme="minorHAnsi"/>
      <w:noProof/>
      <w:szCs w:val="20"/>
      <w:lang w:val="en-GB"/>
    </w:rPr>
  </w:style>
  <w:style w:type="paragraph" w:styleId="TM3">
    <w:name w:val="toc 3"/>
    <w:basedOn w:val="Normal"/>
    <w:next w:val="Normal"/>
    <w:autoRedefine/>
    <w:uiPriority w:val="39"/>
    <w:unhideWhenUsed/>
    <w:rsid w:val="002D0AB1"/>
    <w:pPr>
      <w:tabs>
        <w:tab w:val="left" w:pos="1100"/>
        <w:tab w:val="right" w:leader="dot" w:pos="9060"/>
      </w:tabs>
      <w:spacing w:after="0"/>
      <w:ind w:left="440"/>
    </w:pPr>
    <w:rPr>
      <w:rFonts w:eastAsia="Calibri" w:cstheme="minorHAnsi"/>
      <w:i/>
      <w:iCs/>
      <w:noProof/>
      <w:szCs w:val="20"/>
      <w:lang w:val="en-GB"/>
    </w:rPr>
  </w:style>
  <w:style w:type="character" w:customStyle="1" w:styleId="Titre1Car">
    <w:name w:val="Titre 1 Car"/>
    <w:basedOn w:val="Policepardfaut"/>
    <w:link w:val="Titre1"/>
    <w:uiPriority w:val="9"/>
    <w:rsid w:val="00B86AE7"/>
    <w:rPr>
      <w:rFonts w:eastAsiaTheme="majorEastAsia" w:cstheme="majorBidi"/>
      <w:b/>
      <w:bCs/>
      <w:sz w:val="24"/>
      <w:szCs w:val="28"/>
    </w:rPr>
  </w:style>
  <w:style w:type="paragraph" w:styleId="Paragraphedeliste">
    <w:name w:val="List Paragraph"/>
    <w:basedOn w:val="Normal"/>
    <w:link w:val="ParagraphedelisteCar"/>
    <w:uiPriority w:val="34"/>
    <w:qFormat/>
    <w:rsid w:val="005D3FBB"/>
    <w:pPr>
      <w:ind w:left="720"/>
      <w:contextualSpacing/>
    </w:pPr>
  </w:style>
  <w:style w:type="character" w:customStyle="1" w:styleId="Titre2Car">
    <w:name w:val="Titre 2 Car"/>
    <w:basedOn w:val="Policepardfaut"/>
    <w:link w:val="Titre2"/>
    <w:uiPriority w:val="9"/>
    <w:rsid w:val="00902E0C"/>
    <w:rPr>
      <w:rFonts w:asciiTheme="majorHAnsi" w:eastAsiaTheme="majorEastAsia" w:hAnsiTheme="majorHAnsi" w:cstheme="majorBidi"/>
      <w:b/>
      <w:bCs/>
      <w:color w:val="4F81BD" w:themeColor="accent1"/>
      <w:szCs w:val="26"/>
    </w:rPr>
  </w:style>
  <w:style w:type="character" w:customStyle="1" w:styleId="Titre3Car">
    <w:name w:val="Titre 3 Car"/>
    <w:basedOn w:val="Policepardfaut"/>
    <w:link w:val="Titre3"/>
    <w:uiPriority w:val="9"/>
    <w:rsid w:val="007D137A"/>
    <w:rPr>
      <w:rFonts w:asciiTheme="majorHAnsi" w:eastAsiaTheme="majorEastAsia" w:hAnsiTheme="majorHAnsi" w:cstheme="majorBidi"/>
      <w:b/>
      <w:bCs/>
      <w:color w:val="4F81BD" w:themeColor="accent1"/>
      <w:sz w:val="20"/>
    </w:rPr>
  </w:style>
  <w:style w:type="table" w:styleId="Grilledutableau">
    <w:name w:val="Table Grid"/>
    <w:basedOn w:val="TableauNormal"/>
    <w:uiPriority w:val="39"/>
    <w:rsid w:val="00154067"/>
    <w:pPr>
      <w:spacing w:after="0" w:line="240" w:lineRule="auto"/>
      <w:jc w:val="both"/>
    </w:pPr>
    <w:rPr>
      <w:rFonts w:ascii="Arial" w:eastAsia="Calibri" w:hAnsi="Arial" w:cs="Times New Roman"/>
      <w:color w:val="00000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540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067"/>
    <w:rPr>
      <w:rFonts w:ascii="Tahoma" w:hAnsi="Tahoma" w:cs="Tahoma"/>
      <w:sz w:val="16"/>
      <w:szCs w:val="16"/>
    </w:rPr>
  </w:style>
  <w:style w:type="paragraph" w:customStyle="1" w:styleId="CoSTEATexte">
    <w:name w:val="CoSTEA Texte"/>
    <w:basedOn w:val="Titre2"/>
    <w:link w:val="CoSTEATexteCar"/>
    <w:qFormat/>
    <w:rsid w:val="00994548"/>
    <w:pPr>
      <w:keepNext w:val="0"/>
      <w:spacing w:before="60" w:after="120"/>
      <w:jc w:val="both"/>
    </w:pPr>
    <w:rPr>
      <w:rFonts w:ascii="Arial Narrow" w:hAnsi="Arial Narrow"/>
      <w:b w:val="0"/>
      <w:color w:val="000000" w:themeColor="text1"/>
      <w:sz w:val="19"/>
      <w:szCs w:val="32"/>
      <w:lang w:eastAsia="zh-CN"/>
    </w:rPr>
  </w:style>
  <w:style w:type="character" w:customStyle="1" w:styleId="CoSTEATexteCar">
    <w:name w:val="CoSTEA Texte Car"/>
    <w:basedOn w:val="Titre2Car"/>
    <w:link w:val="CoSTEATexte"/>
    <w:rsid w:val="00994548"/>
    <w:rPr>
      <w:rFonts w:ascii="Arial Narrow" w:eastAsiaTheme="majorEastAsia" w:hAnsi="Arial Narrow" w:cstheme="majorBidi"/>
      <w:b/>
      <w:bCs/>
      <w:color w:val="000000" w:themeColor="text1"/>
      <w:sz w:val="19"/>
      <w:szCs w:val="32"/>
      <w:lang w:eastAsia="zh-CN"/>
    </w:rPr>
  </w:style>
  <w:style w:type="paragraph" w:styleId="En-tte">
    <w:name w:val="header"/>
    <w:basedOn w:val="Normal"/>
    <w:link w:val="En-tteCar"/>
    <w:uiPriority w:val="99"/>
    <w:semiHidden/>
    <w:unhideWhenUsed/>
    <w:rsid w:val="0099454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94548"/>
    <w:rPr>
      <w:sz w:val="20"/>
    </w:rPr>
  </w:style>
  <w:style w:type="paragraph" w:styleId="Pieddepage">
    <w:name w:val="footer"/>
    <w:basedOn w:val="Normal"/>
    <w:link w:val="PieddepageCar"/>
    <w:uiPriority w:val="99"/>
    <w:unhideWhenUsed/>
    <w:rsid w:val="00994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4548"/>
    <w:rPr>
      <w:sz w:val="20"/>
    </w:rPr>
  </w:style>
  <w:style w:type="character" w:customStyle="1" w:styleId="ParagraphedelisteCar">
    <w:name w:val="Paragraphe de liste Car"/>
    <w:link w:val="Paragraphedeliste"/>
    <w:uiPriority w:val="34"/>
    <w:locked/>
    <w:rsid w:val="00572647"/>
    <w:rPr>
      <w:sz w:val="20"/>
    </w:rPr>
  </w:style>
  <w:style w:type="paragraph" w:styleId="Notedebasdepage">
    <w:name w:val="footnote text"/>
    <w:basedOn w:val="Normal"/>
    <w:link w:val="NotedebasdepageCar"/>
    <w:uiPriority w:val="99"/>
    <w:semiHidden/>
    <w:unhideWhenUsed/>
    <w:rsid w:val="0012665E"/>
    <w:pPr>
      <w:spacing w:after="0" w:line="240" w:lineRule="auto"/>
    </w:pPr>
    <w:rPr>
      <w:szCs w:val="20"/>
    </w:rPr>
  </w:style>
  <w:style w:type="character" w:customStyle="1" w:styleId="NotedebasdepageCar">
    <w:name w:val="Note de bas de page Car"/>
    <w:basedOn w:val="Policepardfaut"/>
    <w:link w:val="Notedebasdepage"/>
    <w:uiPriority w:val="99"/>
    <w:semiHidden/>
    <w:rsid w:val="0012665E"/>
    <w:rPr>
      <w:sz w:val="20"/>
      <w:szCs w:val="20"/>
    </w:rPr>
  </w:style>
  <w:style w:type="character" w:styleId="Appelnotedebasdep">
    <w:name w:val="footnote reference"/>
    <w:basedOn w:val="Policepardfaut"/>
    <w:uiPriority w:val="99"/>
    <w:semiHidden/>
    <w:unhideWhenUsed/>
    <w:rsid w:val="0012665E"/>
    <w:rPr>
      <w:vertAlign w:val="superscript"/>
    </w:rPr>
  </w:style>
  <w:style w:type="paragraph" w:styleId="Lgende">
    <w:name w:val="caption"/>
    <w:basedOn w:val="Normal"/>
    <w:next w:val="Normal"/>
    <w:uiPriority w:val="35"/>
    <w:unhideWhenUsed/>
    <w:qFormat/>
    <w:rsid w:val="005152B8"/>
    <w:pPr>
      <w:spacing w:line="240" w:lineRule="auto"/>
      <w:jc w:val="center"/>
    </w:pPr>
    <w:rPr>
      <w:bCs/>
      <w:i/>
      <w:color w:val="000000" w:themeColor="text1"/>
      <w:sz w:val="22"/>
    </w:rPr>
  </w:style>
  <w:style w:type="table" w:styleId="Tableauliste3">
    <w:name w:val="Table List 3"/>
    <w:basedOn w:val="TableauNormal"/>
    <w:rsid w:val="00D34C4A"/>
    <w:pPr>
      <w:widowControl w:val="0"/>
      <w:spacing w:after="0" w:line="360" w:lineRule="auto"/>
      <w:jc w:val="both"/>
    </w:pPr>
    <w:rPr>
      <w:rFonts w:eastAsia="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Titre4Car">
    <w:name w:val="Titre 4 Car"/>
    <w:basedOn w:val="Policepardfaut"/>
    <w:link w:val="Titre4"/>
    <w:uiPriority w:val="9"/>
    <w:rsid w:val="00EE1A05"/>
    <w:rPr>
      <w:rFonts w:eastAsia="Times New Roman" w:cs="Times New Roman"/>
      <w:b/>
      <w:bCs/>
      <w:spacing w:val="-10"/>
      <w:sz w:val="30"/>
      <w:szCs w:val="30"/>
    </w:rPr>
  </w:style>
  <w:style w:type="character" w:customStyle="1" w:styleId="Titre5Car">
    <w:name w:val="Titre 5 Car"/>
    <w:basedOn w:val="Policepardfaut"/>
    <w:link w:val="Titre5"/>
    <w:uiPriority w:val="9"/>
    <w:rsid w:val="00EE1A05"/>
    <w:rPr>
      <w:rFonts w:eastAsia="Times New Roman" w:cs="Times New Roman"/>
      <w:b/>
      <w:bCs/>
      <w:spacing w:val="-10"/>
      <w:sz w:val="28"/>
      <w:szCs w:val="28"/>
    </w:rPr>
  </w:style>
  <w:style w:type="character" w:customStyle="1" w:styleId="Titre6Car">
    <w:name w:val="Titre 6 Car"/>
    <w:basedOn w:val="Policepardfaut"/>
    <w:link w:val="Titre6"/>
    <w:uiPriority w:val="9"/>
    <w:rsid w:val="00EE1A05"/>
    <w:rPr>
      <w:rFonts w:eastAsia="Times New Roman" w:cs="Times New Roman"/>
      <w:b/>
      <w:bCs/>
      <w:spacing w:val="-10"/>
      <w:sz w:val="26"/>
      <w:szCs w:val="26"/>
    </w:rPr>
  </w:style>
  <w:style w:type="character" w:customStyle="1" w:styleId="Titre7Car">
    <w:name w:val="Titre 7 Car"/>
    <w:basedOn w:val="Policepardfaut"/>
    <w:link w:val="Titre7"/>
    <w:rsid w:val="00EE1A05"/>
    <w:rPr>
      <w:rFonts w:eastAsia="Times New Roman" w:cs="Times New Roman"/>
      <w:b/>
      <w:bCs/>
      <w:sz w:val="24"/>
      <w:szCs w:val="24"/>
      <w:u w:val="single"/>
    </w:rPr>
  </w:style>
  <w:style w:type="character" w:customStyle="1" w:styleId="Titre8Car">
    <w:name w:val="Titre 8 Car"/>
    <w:basedOn w:val="Policepardfaut"/>
    <w:link w:val="Titre8"/>
    <w:rsid w:val="00EE1A05"/>
    <w:rPr>
      <w:rFonts w:ascii="Arial" w:eastAsia="Times New Roman" w:hAnsi="Arial" w:cs="Arial"/>
      <w:i/>
      <w:iCs/>
      <w:sz w:val="20"/>
      <w:szCs w:val="20"/>
    </w:rPr>
  </w:style>
  <w:style w:type="character" w:customStyle="1" w:styleId="Titre9Car">
    <w:name w:val="Titre 9 Car"/>
    <w:basedOn w:val="Policepardfaut"/>
    <w:link w:val="Titre9"/>
    <w:rsid w:val="00EE1A05"/>
    <w:rPr>
      <w:rFonts w:ascii="Arial" w:eastAsia="Times New Roman" w:hAnsi="Arial" w:cs="Arial"/>
      <w:i/>
      <w:iCs/>
      <w:sz w:val="18"/>
      <w:szCs w:val="18"/>
    </w:rPr>
  </w:style>
  <w:style w:type="paragraph" w:styleId="Explorateurdedocuments">
    <w:name w:val="Document Map"/>
    <w:basedOn w:val="Normal"/>
    <w:link w:val="ExplorateurdedocumentsCar"/>
    <w:uiPriority w:val="99"/>
    <w:semiHidden/>
    <w:unhideWhenUsed/>
    <w:rsid w:val="000831B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831B3"/>
    <w:rPr>
      <w:rFonts w:ascii="Tahoma" w:hAnsi="Tahoma" w:cs="Tahoma"/>
      <w:sz w:val="16"/>
      <w:szCs w:val="16"/>
    </w:rPr>
  </w:style>
  <w:style w:type="character" w:styleId="Lienhypertexte">
    <w:name w:val="Hyperlink"/>
    <w:basedOn w:val="Policepardfaut"/>
    <w:uiPriority w:val="99"/>
    <w:unhideWhenUsed/>
    <w:rsid w:val="00216124"/>
    <w:rPr>
      <w:color w:val="0000FF" w:themeColor="hyperlink"/>
      <w:u w:val="single"/>
    </w:rPr>
  </w:style>
  <w:style w:type="paragraph" w:styleId="NormalWeb">
    <w:name w:val="Normal (Web)"/>
    <w:basedOn w:val="Normal"/>
    <w:uiPriority w:val="99"/>
    <w:unhideWhenUsed/>
    <w:rsid w:val="00AC1D1B"/>
    <w:pPr>
      <w:spacing w:before="100" w:beforeAutospacing="1" w:after="100" w:afterAutospacing="1" w:line="256" w:lineRule="auto"/>
    </w:pPr>
    <w:rPr>
      <w:sz w:val="24"/>
    </w:rPr>
  </w:style>
  <w:style w:type="table" w:customStyle="1" w:styleId="PlainTable2">
    <w:name w:val="Plain Table 2"/>
    <w:basedOn w:val="TableauNormal"/>
    <w:uiPriority w:val="42"/>
    <w:rsid w:val="00892538"/>
    <w:pPr>
      <w:spacing w:after="0" w:line="240" w:lineRule="auto"/>
    </w:pPr>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E76"/>
    <w:rPr>
      <w:sz w:val="20"/>
    </w:rPr>
  </w:style>
  <w:style w:type="paragraph" w:styleId="Titre1">
    <w:name w:val="heading 1"/>
    <w:basedOn w:val="Normal"/>
    <w:next w:val="Normal"/>
    <w:link w:val="Titre1Car"/>
    <w:uiPriority w:val="9"/>
    <w:qFormat/>
    <w:rsid w:val="00B86AE7"/>
    <w:pPr>
      <w:keepNext/>
      <w:keepLines/>
      <w:spacing w:before="480" w:after="0"/>
      <w:outlineLvl w:val="0"/>
    </w:pPr>
    <w:rPr>
      <w:rFonts w:eastAsiaTheme="majorEastAsia" w:cstheme="majorBidi"/>
      <w:b/>
      <w:bCs/>
      <w:sz w:val="24"/>
      <w:szCs w:val="28"/>
    </w:rPr>
  </w:style>
  <w:style w:type="paragraph" w:styleId="Titre2">
    <w:name w:val="heading 2"/>
    <w:basedOn w:val="Normal"/>
    <w:next w:val="Normal"/>
    <w:link w:val="Titre2Car"/>
    <w:uiPriority w:val="9"/>
    <w:unhideWhenUsed/>
    <w:qFormat/>
    <w:rsid w:val="00902E0C"/>
    <w:pPr>
      <w:keepNext/>
      <w:keepLines/>
      <w:spacing w:before="200" w:after="0"/>
      <w:outlineLvl w:val="1"/>
    </w:pPr>
    <w:rPr>
      <w:rFonts w:asciiTheme="majorHAnsi" w:eastAsiaTheme="majorEastAsia" w:hAnsiTheme="majorHAnsi" w:cstheme="majorBidi"/>
      <w:b/>
      <w:bCs/>
      <w:color w:val="4F81BD" w:themeColor="accent1"/>
      <w:sz w:val="22"/>
      <w:szCs w:val="26"/>
    </w:rPr>
  </w:style>
  <w:style w:type="paragraph" w:styleId="Titre3">
    <w:name w:val="heading 3"/>
    <w:basedOn w:val="Normal"/>
    <w:next w:val="Normal"/>
    <w:link w:val="Titre3Car"/>
    <w:uiPriority w:val="9"/>
    <w:unhideWhenUsed/>
    <w:qFormat/>
    <w:rsid w:val="007D137A"/>
    <w:pPr>
      <w:keepNext/>
      <w:keepLines/>
      <w:spacing w:before="200" w:after="0"/>
      <w:ind w:left="426"/>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qFormat/>
    <w:rsid w:val="00EE1A05"/>
    <w:pPr>
      <w:keepNext/>
      <w:widowControl w:val="0"/>
      <w:numPr>
        <w:ilvl w:val="3"/>
        <w:numId w:val="9"/>
      </w:numPr>
      <w:spacing w:after="0" w:line="360" w:lineRule="auto"/>
      <w:jc w:val="both"/>
      <w:outlineLvl w:val="3"/>
    </w:pPr>
    <w:rPr>
      <w:rFonts w:eastAsia="Times New Roman" w:cs="Times New Roman"/>
      <w:b/>
      <w:bCs/>
      <w:spacing w:val="-10"/>
      <w:sz w:val="30"/>
      <w:szCs w:val="30"/>
    </w:rPr>
  </w:style>
  <w:style w:type="paragraph" w:styleId="Titre5">
    <w:name w:val="heading 5"/>
    <w:basedOn w:val="Normal"/>
    <w:next w:val="Normal"/>
    <w:link w:val="Titre5Car"/>
    <w:uiPriority w:val="9"/>
    <w:qFormat/>
    <w:rsid w:val="00EE1A05"/>
    <w:pPr>
      <w:widowControl w:val="0"/>
      <w:numPr>
        <w:ilvl w:val="4"/>
        <w:numId w:val="9"/>
      </w:numPr>
      <w:spacing w:after="0" w:line="360" w:lineRule="auto"/>
      <w:jc w:val="both"/>
      <w:outlineLvl w:val="4"/>
    </w:pPr>
    <w:rPr>
      <w:rFonts w:eastAsia="Times New Roman" w:cs="Times New Roman"/>
      <w:b/>
      <w:bCs/>
      <w:spacing w:val="-10"/>
      <w:sz w:val="28"/>
      <w:szCs w:val="28"/>
    </w:rPr>
  </w:style>
  <w:style w:type="paragraph" w:styleId="Titre6">
    <w:name w:val="heading 6"/>
    <w:basedOn w:val="Normal"/>
    <w:next w:val="Normal"/>
    <w:link w:val="Titre6Car"/>
    <w:uiPriority w:val="9"/>
    <w:qFormat/>
    <w:rsid w:val="00EE1A05"/>
    <w:pPr>
      <w:widowControl w:val="0"/>
      <w:numPr>
        <w:ilvl w:val="5"/>
        <w:numId w:val="9"/>
      </w:numPr>
      <w:spacing w:after="0" w:line="360" w:lineRule="auto"/>
      <w:jc w:val="both"/>
      <w:outlineLvl w:val="5"/>
    </w:pPr>
    <w:rPr>
      <w:rFonts w:eastAsia="Times New Roman" w:cs="Times New Roman"/>
      <w:b/>
      <w:bCs/>
      <w:spacing w:val="-10"/>
      <w:sz w:val="26"/>
      <w:szCs w:val="26"/>
    </w:rPr>
  </w:style>
  <w:style w:type="paragraph" w:styleId="Titre7">
    <w:name w:val="heading 7"/>
    <w:basedOn w:val="Normal"/>
    <w:next w:val="Normal"/>
    <w:link w:val="Titre7Car"/>
    <w:qFormat/>
    <w:rsid w:val="00EE1A05"/>
    <w:pPr>
      <w:widowControl w:val="0"/>
      <w:numPr>
        <w:ilvl w:val="6"/>
        <w:numId w:val="9"/>
      </w:numPr>
      <w:spacing w:before="240" w:after="60" w:line="360" w:lineRule="auto"/>
      <w:jc w:val="both"/>
      <w:outlineLvl w:val="6"/>
    </w:pPr>
    <w:rPr>
      <w:rFonts w:eastAsia="Times New Roman" w:cs="Times New Roman"/>
      <w:b/>
      <w:bCs/>
      <w:sz w:val="24"/>
      <w:szCs w:val="24"/>
      <w:u w:val="single"/>
    </w:rPr>
  </w:style>
  <w:style w:type="paragraph" w:styleId="Titre8">
    <w:name w:val="heading 8"/>
    <w:basedOn w:val="Normal"/>
    <w:next w:val="Normal"/>
    <w:link w:val="Titre8Car"/>
    <w:qFormat/>
    <w:rsid w:val="00EE1A05"/>
    <w:pPr>
      <w:widowControl w:val="0"/>
      <w:numPr>
        <w:ilvl w:val="7"/>
        <w:numId w:val="9"/>
      </w:numPr>
      <w:spacing w:before="240" w:after="60" w:line="360" w:lineRule="auto"/>
      <w:jc w:val="both"/>
      <w:outlineLvl w:val="7"/>
    </w:pPr>
    <w:rPr>
      <w:rFonts w:ascii="Arial" w:eastAsia="Times New Roman" w:hAnsi="Arial" w:cs="Arial"/>
      <w:i/>
      <w:iCs/>
      <w:szCs w:val="20"/>
    </w:rPr>
  </w:style>
  <w:style w:type="paragraph" w:styleId="Titre9">
    <w:name w:val="heading 9"/>
    <w:basedOn w:val="Normal"/>
    <w:next w:val="Normal"/>
    <w:link w:val="Titre9Car"/>
    <w:qFormat/>
    <w:rsid w:val="00EE1A05"/>
    <w:pPr>
      <w:widowControl w:val="0"/>
      <w:numPr>
        <w:ilvl w:val="8"/>
        <w:numId w:val="9"/>
      </w:numPr>
      <w:spacing w:before="240" w:after="60" w:line="360" w:lineRule="auto"/>
      <w:jc w:val="both"/>
      <w:outlineLvl w:val="8"/>
    </w:pPr>
    <w:rPr>
      <w:rFonts w:ascii="Arial" w:eastAsia="Times New Roman"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hesis-PhD">
    <w:name w:val="Thesis-PhD"/>
    <w:uiPriority w:val="99"/>
    <w:rsid w:val="005F03AA"/>
    <w:pPr>
      <w:numPr>
        <w:numId w:val="1"/>
      </w:numPr>
    </w:pPr>
  </w:style>
  <w:style w:type="paragraph" w:styleId="Tabledesillustrations">
    <w:name w:val="table of figures"/>
    <w:basedOn w:val="Normal"/>
    <w:next w:val="Normal"/>
    <w:uiPriority w:val="99"/>
    <w:unhideWhenUsed/>
    <w:rsid w:val="002D0AB1"/>
    <w:pPr>
      <w:tabs>
        <w:tab w:val="right" w:leader="dot" w:pos="9060"/>
      </w:tabs>
      <w:spacing w:after="0" w:line="480" w:lineRule="auto"/>
      <w:ind w:left="440" w:hanging="440"/>
    </w:pPr>
    <w:rPr>
      <w:rFonts w:eastAsia="Calibri" w:cstheme="minorHAnsi"/>
      <w:noProof/>
      <w:lang w:val="en-GB"/>
    </w:rPr>
  </w:style>
  <w:style w:type="paragraph" w:styleId="TM2">
    <w:name w:val="toc 2"/>
    <w:basedOn w:val="Normal"/>
    <w:next w:val="Normal"/>
    <w:autoRedefine/>
    <w:uiPriority w:val="39"/>
    <w:unhideWhenUsed/>
    <w:qFormat/>
    <w:rsid w:val="002D0AB1"/>
    <w:pPr>
      <w:tabs>
        <w:tab w:val="left" w:pos="880"/>
        <w:tab w:val="right" w:leader="dot" w:pos="9060"/>
      </w:tabs>
      <w:spacing w:after="0"/>
      <w:ind w:left="220"/>
    </w:pPr>
    <w:rPr>
      <w:rFonts w:eastAsia="Calibri" w:cstheme="minorHAnsi"/>
      <w:noProof/>
      <w:szCs w:val="20"/>
      <w:lang w:val="en-GB"/>
    </w:rPr>
  </w:style>
  <w:style w:type="paragraph" w:styleId="TM3">
    <w:name w:val="toc 3"/>
    <w:basedOn w:val="Normal"/>
    <w:next w:val="Normal"/>
    <w:autoRedefine/>
    <w:uiPriority w:val="39"/>
    <w:unhideWhenUsed/>
    <w:rsid w:val="002D0AB1"/>
    <w:pPr>
      <w:tabs>
        <w:tab w:val="left" w:pos="1100"/>
        <w:tab w:val="right" w:leader="dot" w:pos="9060"/>
      </w:tabs>
      <w:spacing w:after="0"/>
      <w:ind w:left="440"/>
    </w:pPr>
    <w:rPr>
      <w:rFonts w:eastAsia="Calibri" w:cstheme="minorHAnsi"/>
      <w:i/>
      <w:iCs/>
      <w:noProof/>
      <w:szCs w:val="20"/>
      <w:lang w:val="en-GB"/>
    </w:rPr>
  </w:style>
  <w:style w:type="character" w:customStyle="1" w:styleId="Titre1Car">
    <w:name w:val="Titre 1 Car"/>
    <w:basedOn w:val="Policepardfaut"/>
    <w:link w:val="Titre1"/>
    <w:uiPriority w:val="9"/>
    <w:rsid w:val="00B86AE7"/>
    <w:rPr>
      <w:rFonts w:eastAsiaTheme="majorEastAsia" w:cstheme="majorBidi"/>
      <w:b/>
      <w:bCs/>
      <w:sz w:val="24"/>
      <w:szCs w:val="28"/>
    </w:rPr>
  </w:style>
  <w:style w:type="paragraph" w:styleId="Paragraphedeliste">
    <w:name w:val="List Paragraph"/>
    <w:basedOn w:val="Normal"/>
    <w:link w:val="ParagraphedelisteCar"/>
    <w:uiPriority w:val="34"/>
    <w:qFormat/>
    <w:rsid w:val="005D3FBB"/>
    <w:pPr>
      <w:ind w:left="720"/>
      <w:contextualSpacing/>
    </w:pPr>
  </w:style>
  <w:style w:type="character" w:customStyle="1" w:styleId="Titre2Car">
    <w:name w:val="Titre 2 Car"/>
    <w:basedOn w:val="Policepardfaut"/>
    <w:link w:val="Titre2"/>
    <w:uiPriority w:val="9"/>
    <w:rsid w:val="00902E0C"/>
    <w:rPr>
      <w:rFonts w:asciiTheme="majorHAnsi" w:eastAsiaTheme="majorEastAsia" w:hAnsiTheme="majorHAnsi" w:cstheme="majorBidi"/>
      <w:b/>
      <w:bCs/>
      <w:color w:val="4F81BD" w:themeColor="accent1"/>
      <w:szCs w:val="26"/>
    </w:rPr>
  </w:style>
  <w:style w:type="character" w:customStyle="1" w:styleId="Titre3Car">
    <w:name w:val="Titre 3 Car"/>
    <w:basedOn w:val="Policepardfaut"/>
    <w:link w:val="Titre3"/>
    <w:uiPriority w:val="9"/>
    <w:rsid w:val="007D137A"/>
    <w:rPr>
      <w:rFonts w:asciiTheme="majorHAnsi" w:eastAsiaTheme="majorEastAsia" w:hAnsiTheme="majorHAnsi" w:cstheme="majorBidi"/>
      <w:b/>
      <w:bCs/>
      <w:color w:val="4F81BD" w:themeColor="accent1"/>
      <w:sz w:val="20"/>
    </w:rPr>
  </w:style>
  <w:style w:type="table" w:styleId="Grilledutableau">
    <w:name w:val="Table Grid"/>
    <w:basedOn w:val="TableauNormal"/>
    <w:uiPriority w:val="39"/>
    <w:rsid w:val="00154067"/>
    <w:pPr>
      <w:spacing w:after="0" w:line="240" w:lineRule="auto"/>
      <w:jc w:val="both"/>
    </w:pPr>
    <w:rPr>
      <w:rFonts w:ascii="Arial" w:eastAsia="Calibri" w:hAnsi="Arial" w:cs="Times New Roman"/>
      <w:color w:val="00000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540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067"/>
    <w:rPr>
      <w:rFonts w:ascii="Tahoma" w:hAnsi="Tahoma" w:cs="Tahoma"/>
      <w:sz w:val="16"/>
      <w:szCs w:val="16"/>
    </w:rPr>
  </w:style>
  <w:style w:type="paragraph" w:customStyle="1" w:styleId="CoSTEATexte">
    <w:name w:val="CoSTEA Texte"/>
    <w:basedOn w:val="Titre2"/>
    <w:link w:val="CoSTEATexteCar"/>
    <w:qFormat/>
    <w:rsid w:val="00994548"/>
    <w:pPr>
      <w:keepNext w:val="0"/>
      <w:spacing w:before="60" w:after="120"/>
      <w:jc w:val="both"/>
    </w:pPr>
    <w:rPr>
      <w:rFonts w:ascii="Arial Narrow" w:hAnsi="Arial Narrow"/>
      <w:b w:val="0"/>
      <w:color w:val="000000" w:themeColor="text1"/>
      <w:sz w:val="19"/>
      <w:szCs w:val="32"/>
      <w:lang w:eastAsia="zh-CN"/>
    </w:rPr>
  </w:style>
  <w:style w:type="character" w:customStyle="1" w:styleId="CoSTEATexteCar">
    <w:name w:val="CoSTEA Texte Car"/>
    <w:basedOn w:val="Titre2Car"/>
    <w:link w:val="CoSTEATexte"/>
    <w:rsid w:val="00994548"/>
    <w:rPr>
      <w:rFonts w:ascii="Arial Narrow" w:eastAsiaTheme="majorEastAsia" w:hAnsi="Arial Narrow" w:cstheme="majorBidi"/>
      <w:b/>
      <w:bCs/>
      <w:color w:val="000000" w:themeColor="text1"/>
      <w:sz w:val="19"/>
      <w:szCs w:val="32"/>
      <w:lang w:eastAsia="zh-CN"/>
    </w:rPr>
  </w:style>
  <w:style w:type="paragraph" w:styleId="En-tte">
    <w:name w:val="header"/>
    <w:basedOn w:val="Normal"/>
    <w:link w:val="En-tteCar"/>
    <w:uiPriority w:val="99"/>
    <w:semiHidden/>
    <w:unhideWhenUsed/>
    <w:rsid w:val="0099454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94548"/>
    <w:rPr>
      <w:sz w:val="20"/>
    </w:rPr>
  </w:style>
  <w:style w:type="paragraph" w:styleId="Pieddepage">
    <w:name w:val="footer"/>
    <w:basedOn w:val="Normal"/>
    <w:link w:val="PieddepageCar"/>
    <w:uiPriority w:val="99"/>
    <w:unhideWhenUsed/>
    <w:rsid w:val="00994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4548"/>
    <w:rPr>
      <w:sz w:val="20"/>
    </w:rPr>
  </w:style>
  <w:style w:type="character" w:customStyle="1" w:styleId="ParagraphedelisteCar">
    <w:name w:val="Paragraphe de liste Car"/>
    <w:link w:val="Paragraphedeliste"/>
    <w:uiPriority w:val="34"/>
    <w:locked/>
    <w:rsid w:val="00572647"/>
    <w:rPr>
      <w:sz w:val="20"/>
    </w:rPr>
  </w:style>
  <w:style w:type="paragraph" w:styleId="Notedebasdepage">
    <w:name w:val="footnote text"/>
    <w:basedOn w:val="Normal"/>
    <w:link w:val="NotedebasdepageCar"/>
    <w:uiPriority w:val="99"/>
    <w:semiHidden/>
    <w:unhideWhenUsed/>
    <w:rsid w:val="0012665E"/>
    <w:pPr>
      <w:spacing w:after="0" w:line="240" w:lineRule="auto"/>
    </w:pPr>
    <w:rPr>
      <w:szCs w:val="20"/>
    </w:rPr>
  </w:style>
  <w:style w:type="character" w:customStyle="1" w:styleId="NotedebasdepageCar">
    <w:name w:val="Note de bas de page Car"/>
    <w:basedOn w:val="Policepardfaut"/>
    <w:link w:val="Notedebasdepage"/>
    <w:uiPriority w:val="99"/>
    <w:semiHidden/>
    <w:rsid w:val="0012665E"/>
    <w:rPr>
      <w:sz w:val="20"/>
      <w:szCs w:val="20"/>
    </w:rPr>
  </w:style>
  <w:style w:type="character" w:styleId="Appelnotedebasdep">
    <w:name w:val="footnote reference"/>
    <w:basedOn w:val="Policepardfaut"/>
    <w:uiPriority w:val="99"/>
    <w:semiHidden/>
    <w:unhideWhenUsed/>
    <w:rsid w:val="0012665E"/>
    <w:rPr>
      <w:vertAlign w:val="superscript"/>
    </w:rPr>
  </w:style>
  <w:style w:type="paragraph" w:styleId="Lgende">
    <w:name w:val="caption"/>
    <w:basedOn w:val="Normal"/>
    <w:next w:val="Normal"/>
    <w:uiPriority w:val="35"/>
    <w:unhideWhenUsed/>
    <w:qFormat/>
    <w:rsid w:val="005152B8"/>
    <w:pPr>
      <w:spacing w:line="240" w:lineRule="auto"/>
      <w:jc w:val="center"/>
    </w:pPr>
    <w:rPr>
      <w:bCs/>
      <w:i/>
      <w:color w:val="000000" w:themeColor="text1"/>
      <w:sz w:val="22"/>
    </w:rPr>
  </w:style>
  <w:style w:type="table" w:styleId="Tableauliste3">
    <w:name w:val="Table List 3"/>
    <w:basedOn w:val="TableauNormal"/>
    <w:rsid w:val="00D34C4A"/>
    <w:pPr>
      <w:widowControl w:val="0"/>
      <w:spacing w:after="0" w:line="360" w:lineRule="auto"/>
      <w:jc w:val="both"/>
    </w:pPr>
    <w:rPr>
      <w:rFonts w:eastAsia="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Titre4Car">
    <w:name w:val="Titre 4 Car"/>
    <w:basedOn w:val="Policepardfaut"/>
    <w:link w:val="Titre4"/>
    <w:uiPriority w:val="9"/>
    <w:rsid w:val="00EE1A05"/>
    <w:rPr>
      <w:rFonts w:eastAsia="Times New Roman" w:cs="Times New Roman"/>
      <w:b/>
      <w:bCs/>
      <w:spacing w:val="-10"/>
      <w:sz w:val="30"/>
      <w:szCs w:val="30"/>
    </w:rPr>
  </w:style>
  <w:style w:type="character" w:customStyle="1" w:styleId="Titre5Car">
    <w:name w:val="Titre 5 Car"/>
    <w:basedOn w:val="Policepardfaut"/>
    <w:link w:val="Titre5"/>
    <w:uiPriority w:val="9"/>
    <w:rsid w:val="00EE1A05"/>
    <w:rPr>
      <w:rFonts w:eastAsia="Times New Roman" w:cs="Times New Roman"/>
      <w:b/>
      <w:bCs/>
      <w:spacing w:val="-10"/>
      <w:sz w:val="28"/>
      <w:szCs w:val="28"/>
    </w:rPr>
  </w:style>
  <w:style w:type="character" w:customStyle="1" w:styleId="Titre6Car">
    <w:name w:val="Titre 6 Car"/>
    <w:basedOn w:val="Policepardfaut"/>
    <w:link w:val="Titre6"/>
    <w:uiPriority w:val="9"/>
    <w:rsid w:val="00EE1A05"/>
    <w:rPr>
      <w:rFonts w:eastAsia="Times New Roman" w:cs="Times New Roman"/>
      <w:b/>
      <w:bCs/>
      <w:spacing w:val="-10"/>
      <w:sz w:val="26"/>
      <w:szCs w:val="26"/>
    </w:rPr>
  </w:style>
  <w:style w:type="character" w:customStyle="1" w:styleId="Titre7Car">
    <w:name w:val="Titre 7 Car"/>
    <w:basedOn w:val="Policepardfaut"/>
    <w:link w:val="Titre7"/>
    <w:rsid w:val="00EE1A05"/>
    <w:rPr>
      <w:rFonts w:eastAsia="Times New Roman" w:cs="Times New Roman"/>
      <w:b/>
      <w:bCs/>
      <w:sz w:val="24"/>
      <w:szCs w:val="24"/>
      <w:u w:val="single"/>
    </w:rPr>
  </w:style>
  <w:style w:type="character" w:customStyle="1" w:styleId="Titre8Car">
    <w:name w:val="Titre 8 Car"/>
    <w:basedOn w:val="Policepardfaut"/>
    <w:link w:val="Titre8"/>
    <w:rsid w:val="00EE1A05"/>
    <w:rPr>
      <w:rFonts w:ascii="Arial" w:eastAsia="Times New Roman" w:hAnsi="Arial" w:cs="Arial"/>
      <w:i/>
      <w:iCs/>
      <w:sz w:val="20"/>
      <w:szCs w:val="20"/>
    </w:rPr>
  </w:style>
  <w:style w:type="character" w:customStyle="1" w:styleId="Titre9Car">
    <w:name w:val="Titre 9 Car"/>
    <w:basedOn w:val="Policepardfaut"/>
    <w:link w:val="Titre9"/>
    <w:rsid w:val="00EE1A05"/>
    <w:rPr>
      <w:rFonts w:ascii="Arial" w:eastAsia="Times New Roman" w:hAnsi="Arial" w:cs="Arial"/>
      <w:i/>
      <w:iCs/>
      <w:sz w:val="18"/>
      <w:szCs w:val="18"/>
    </w:rPr>
  </w:style>
  <w:style w:type="paragraph" w:styleId="Explorateurdedocuments">
    <w:name w:val="Document Map"/>
    <w:basedOn w:val="Normal"/>
    <w:link w:val="ExplorateurdedocumentsCar"/>
    <w:uiPriority w:val="99"/>
    <w:semiHidden/>
    <w:unhideWhenUsed/>
    <w:rsid w:val="000831B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831B3"/>
    <w:rPr>
      <w:rFonts w:ascii="Tahoma" w:hAnsi="Tahoma" w:cs="Tahoma"/>
      <w:sz w:val="16"/>
      <w:szCs w:val="16"/>
    </w:rPr>
  </w:style>
  <w:style w:type="character" w:styleId="Lienhypertexte">
    <w:name w:val="Hyperlink"/>
    <w:basedOn w:val="Policepardfaut"/>
    <w:uiPriority w:val="99"/>
    <w:unhideWhenUsed/>
    <w:rsid w:val="00216124"/>
    <w:rPr>
      <w:color w:val="0000FF" w:themeColor="hyperlink"/>
      <w:u w:val="single"/>
    </w:rPr>
  </w:style>
  <w:style w:type="paragraph" w:styleId="NormalWeb">
    <w:name w:val="Normal (Web)"/>
    <w:basedOn w:val="Normal"/>
    <w:uiPriority w:val="99"/>
    <w:unhideWhenUsed/>
    <w:rsid w:val="00AC1D1B"/>
    <w:pPr>
      <w:spacing w:before="100" w:beforeAutospacing="1" w:after="100" w:afterAutospacing="1" w:line="256" w:lineRule="auto"/>
    </w:pPr>
    <w:rPr>
      <w:sz w:val="24"/>
    </w:rPr>
  </w:style>
  <w:style w:type="table" w:customStyle="1" w:styleId="PlainTable2">
    <w:name w:val="Plain Table 2"/>
    <w:basedOn w:val="TableauNormal"/>
    <w:uiPriority w:val="42"/>
    <w:rsid w:val="00892538"/>
    <w:pPr>
      <w:spacing w:after="0" w:line="240" w:lineRule="auto"/>
    </w:pPr>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youtu.be/_DjS2kwvQX8" TargetMode="External"/><Relationship Id="rId1" Type="http://schemas.openxmlformats.org/officeDocument/2006/relationships/hyperlink" Target="https://youtu.be/duuVli2jBp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ta1.EDUCATION\AppData\Roaming\Microsoft\Templates\PhD%20Thesis%20201310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0BE5-3ACC-47D3-AB2E-F01A044C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PhD Thesis 20131007</Template>
  <TotalTime>6</TotalTime>
  <Pages>13</Pages>
  <Words>10704</Words>
  <Characters>58874</Characters>
  <Application>Microsoft Office Word</Application>
  <DocSecurity>0</DocSecurity>
  <Lines>490</Lines>
  <Paragraphs>138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CIRAD</Company>
  <LinksUpToDate>false</LinksUpToDate>
  <CharactersWithSpaces>69440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Keita</dc:creator>
  <cp:lastModifiedBy>Amadou Keita</cp:lastModifiedBy>
  <cp:revision>5</cp:revision>
  <dcterms:created xsi:type="dcterms:W3CDTF">2017-09-13T13:18:00Z</dcterms:created>
  <dcterms:modified xsi:type="dcterms:W3CDTF">2017-09-15T11:55:00Z</dcterms:modified>
</cp:coreProperties>
</file>